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rPr>
          <w:rFonts w:hint="eastAsia" w:ascii="宋体" w:hAnsi="宋体" w:eastAsia="宋体" w:cs="Times New Roman"/>
          <w:bCs/>
          <w:color w:val="auto"/>
          <w:sz w:val="36"/>
          <w:szCs w:val="30"/>
          <w:highlight w:val="none"/>
        </w:rPr>
      </w:pPr>
      <w:r>
        <w:rPr>
          <w:rFonts w:hint="default" w:ascii="宋体" w:hAnsi="宋体" w:eastAsia="宋体" w:cs="Times New Roman"/>
          <w:bCs/>
          <w:color w:val="auto"/>
          <w:sz w:val="36"/>
          <w:szCs w:val="30"/>
          <w:highlight w:val="none"/>
          <w:lang w:val="en-US" w:eastAsia="zh-CN"/>
        </w:rPr>
        <w:t>重庆市文化遗产研究院关于忠县三峡出土青铜器再修复保护专用</w:t>
      </w:r>
      <w:r>
        <w:rPr>
          <w:rFonts w:hint="eastAsia" w:ascii="宋体" w:hAnsi="宋体" w:eastAsia="宋体" w:cs="Times New Roman"/>
          <w:bCs/>
          <w:color w:val="auto"/>
          <w:sz w:val="36"/>
          <w:szCs w:val="30"/>
          <w:highlight w:val="none"/>
          <w:lang w:val="en-US" w:eastAsia="zh-CN"/>
        </w:rPr>
        <w:t>保护装具</w:t>
      </w:r>
      <w:r>
        <w:rPr>
          <w:rFonts w:hint="default" w:ascii="宋体" w:hAnsi="宋体" w:eastAsia="宋体" w:cs="Times New Roman"/>
          <w:bCs/>
          <w:color w:val="auto"/>
          <w:sz w:val="36"/>
          <w:szCs w:val="30"/>
          <w:highlight w:val="none"/>
          <w:lang w:val="en-US" w:eastAsia="zh-CN"/>
        </w:rPr>
        <w:t>采购项目</w:t>
      </w:r>
      <w:r>
        <w:rPr>
          <w:rFonts w:hint="eastAsia" w:ascii="宋体" w:hAnsi="宋体" w:eastAsia="宋体" w:cs="Times New Roman"/>
          <w:bCs/>
          <w:color w:val="auto"/>
          <w:sz w:val="36"/>
          <w:szCs w:val="30"/>
          <w:highlight w:val="none"/>
          <w:lang w:val="en-US" w:eastAsia="zh-CN"/>
        </w:rPr>
        <w:t>评审文件</w:t>
      </w:r>
    </w:p>
    <w:p>
      <w:pPr>
        <w:snapToGrid w:val="0"/>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eastAsia="zh-CN"/>
        </w:rPr>
        <w:t>我院将</w:t>
      </w:r>
      <w:r>
        <w:rPr>
          <w:rFonts w:hint="eastAsia" w:ascii="宋体" w:hAnsi="宋体"/>
          <w:color w:val="auto"/>
          <w:sz w:val="24"/>
          <w:szCs w:val="24"/>
          <w:highlight w:val="none"/>
        </w:rPr>
        <w:t>对</w:t>
      </w:r>
      <w:r>
        <w:rPr>
          <w:rFonts w:hint="default" w:ascii="宋体" w:hAnsi="宋体" w:cs="Times New Roman"/>
          <w:color w:val="auto"/>
          <w:sz w:val="24"/>
          <w:szCs w:val="24"/>
          <w:highlight w:val="none"/>
          <w:u w:val="none"/>
          <w:lang w:val="en-US" w:eastAsia="zh-CN"/>
        </w:rPr>
        <w:t>重庆市文化遗产研究院关于</w:t>
      </w:r>
      <w:r>
        <w:rPr>
          <w:rFonts w:hint="default" w:ascii="宋体" w:hAnsi="宋体" w:cs="Times New Roman"/>
          <w:color w:val="auto"/>
          <w:sz w:val="24"/>
          <w:szCs w:val="24"/>
          <w:highlight w:val="none"/>
          <w:u w:val="single"/>
          <w:lang w:val="en-US" w:eastAsia="zh-CN"/>
        </w:rPr>
        <w:t>忠县三峡出土青铜器再修复保护专用</w:t>
      </w:r>
      <w:r>
        <w:rPr>
          <w:rFonts w:hint="eastAsia" w:ascii="宋体" w:hAnsi="宋体" w:cs="Times New Roman"/>
          <w:color w:val="auto"/>
          <w:sz w:val="24"/>
          <w:szCs w:val="24"/>
          <w:highlight w:val="none"/>
          <w:u w:val="single"/>
          <w:lang w:val="en-US" w:eastAsia="zh-CN"/>
        </w:rPr>
        <w:t>保护装具</w:t>
      </w:r>
      <w:r>
        <w:rPr>
          <w:rFonts w:hint="default" w:ascii="宋体" w:hAnsi="宋体" w:cs="Times New Roman"/>
          <w:color w:val="auto"/>
          <w:sz w:val="24"/>
          <w:szCs w:val="24"/>
          <w:highlight w:val="none"/>
          <w:u w:val="none"/>
          <w:lang w:val="en-US" w:eastAsia="zh-CN"/>
        </w:rPr>
        <w:t>采购项目</w:t>
      </w:r>
      <w:r>
        <w:rPr>
          <w:rFonts w:hint="eastAsia" w:ascii="宋体" w:hAnsi="宋体"/>
          <w:color w:val="auto"/>
          <w:sz w:val="24"/>
          <w:szCs w:val="24"/>
          <w:highlight w:val="none"/>
        </w:rPr>
        <w:t>进行</w:t>
      </w:r>
      <w:r>
        <w:rPr>
          <w:rFonts w:hint="eastAsia" w:ascii="宋体" w:hAnsi="宋体"/>
          <w:color w:val="auto"/>
          <w:sz w:val="24"/>
          <w:szCs w:val="24"/>
          <w:highlight w:val="none"/>
          <w:lang w:eastAsia="zh-CN"/>
        </w:rPr>
        <w:t>评审确定供应商</w:t>
      </w:r>
      <w:r>
        <w:rPr>
          <w:rFonts w:hint="eastAsia" w:ascii="宋体" w:hAnsi="宋体"/>
          <w:color w:val="auto"/>
          <w:sz w:val="24"/>
          <w:szCs w:val="24"/>
          <w:highlight w:val="none"/>
        </w:rPr>
        <w:t>。欢迎有资格的供应商前来参加。</w:t>
      </w:r>
    </w:p>
    <w:p>
      <w:pPr>
        <w:pStyle w:val="5"/>
        <w:spacing w:before="0" w:after="0" w:line="360" w:lineRule="auto"/>
        <w:rPr>
          <w:rFonts w:ascii="宋体" w:hAnsi="宋体"/>
          <w:color w:val="auto"/>
          <w:sz w:val="24"/>
          <w:szCs w:val="24"/>
          <w:highlight w:val="none"/>
        </w:rPr>
      </w:pPr>
      <w:bookmarkStart w:id="0" w:name="_Toc9997"/>
      <w:bookmarkStart w:id="1" w:name="_Toc317775175"/>
      <w:bookmarkStart w:id="2" w:name="_Toc313893526"/>
      <w:r>
        <w:rPr>
          <w:rFonts w:hint="eastAsia" w:ascii="宋体" w:hAnsi="宋体"/>
          <w:color w:val="auto"/>
          <w:sz w:val="24"/>
          <w:szCs w:val="24"/>
          <w:highlight w:val="none"/>
        </w:rPr>
        <w:t>一、</w:t>
      </w:r>
      <w:r>
        <w:rPr>
          <w:rFonts w:hint="eastAsia" w:ascii="宋体" w:hAnsi="宋体"/>
          <w:color w:val="auto"/>
          <w:sz w:val="24"/>
          <w:szCs w:val="24"/>
          <w:highlight w:val="none"/>
          <w:lang w:eastAsia="zh-CN"/>
        </w:rPr>
        <w:t>评审</w:t>
      </w:r>
      <w:r>
        <w:rPr>
          <w:rFonts w:hint="eastAsia" w:ascii="宋体" w:hAnsi="宋体"/>
          <w:color w:val="auto"/>
          <w:sz w:val="24"/>
          <w:szCs w:val="24"/>
          <w:highlight w:val="none"/>
        </w:rPr>
        <w:t>内容</w:t>
      </w:r>
      <w:bookmarkEnd w:id="0"/>
      <w:bookmarkEnd w:id="1"/>
      <w:bookmarkEnd w:id="2"/>
    </w:p>
    <w:tbl>
      <w:tblPr>
        <w:tblStyle w:val="10"/>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1735"/>
        <w:gridCol w:w="2305"/>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525" w:type="dxa"/>
            <w:tcBorders>
              <w:top w:val="single" w:color="auto" w:sz="4" w:space="0"/>
              <w:left w:val="single" w:color="auto" w:sz="4" w:space="0"/>
              <w:right w:val="single" w:color="auto" w:sz="4" w:space="0"/>
            </w:tcBorders>
            <w:vAlign w:val="center"/>
          </w:tcPr>
          <w:p>
            <w:pPr>
              <w:widowControl/>
              <w:spacing w:line="360" w:lineRule="auto"/>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采购内容</w:t>
            </w:r>
          </w:p>
        </w:tc>
        <w:tc>
          <w:tcPr>
            <w:tcW w:w="1735" w:type="dxa"/>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eastAsia="宋体"/>
                <w:b/>
                <w:color w:val="auto"/>
                <w:sz w:val="21"/>
                <w:szCs w:val="21"/>
                <w:highlight w:val="none"/>
                <w:lang w:val="en-US" w:eastAsia="zh-CN"/>
              </w:rPr>
            </w:pPr>
            <w:r>
              <w:rPr>
                <w:rFonts w:hint="eastAsia" w:ascii="宋体" w:hAnsi="宋体"/>
                <w:b/>
                <w:color w:val="auto"/>
                <w:sz w:val="21"/>
                <w:szCs w:val="21"/>
                <w:highlight w:val="none"/>
                <w:lang w:val="en-US" w:eastAsia="zh-CN"/>
              </w:rPr>
              <w:t>采购数量</w:t>
            </w:r>
          </w:p>
        </w:tc>
        <w:tc>
          <w:tcPr>
            <w:tcW w:w="2305" w:type="dxa"/>
            <w:tcBorders>
              <w:top w:val="single" w:color="auto" w:sz="4" w:space="0"/>
              <w:left w:val="single" w:color="auto" w:sz="4" w:space="0"/>
              <w:right w:val="single" w:color="auto" w:sz="4" w:space="0"/>
            </w:tcBorders>
            <w:vAlign w:val="center"/>
          </w:tcPr>
          <w:p>
            <w:pPr>
              <w:pStyle w:val="7"/>
              <w:spacing w:line="360" w:lineRule="auto"/>
              <w:ind w:left="0"/>
              <w:jc w:val="center"/>
              <w:outlineLvl w:val="0"/>
              <w:rPr>
                <w:rFonts w:hint="eastAsia" w:ascii="宋体" w:hAnsi="宋体" w:cs="宋体"/>
                <w:b/>
                <w:bCs/>
                <w:color w:val="auto"/>
                <w:kern w:val="0"/>
                <w:sz w:val="21"/>
                <w:szCs w:val="21"/>
                <w:highlight w:val="none"/>
              </w:rPr>
            </w:pPr>
            <w:r>
              <w:rPr>
                <w:rFonts w:hint="eastAsia" w:ascii="宋体" w:hAnsi="宋体"/>
                <w:b/>
                <w:color w:val="auto"/>
                <w:sz w:val="21"/>
                <w:szCs w:val="21"/>
                <w:highlight w:val="none"/>
              </w:rPr>
              <w:t>预算金额（</w:t>
            </w:r>
            <w:r>
              <w:rPr>
                <w:rFonts w:hint="eastAsia" w:ascii="宋体" w:hAnsi="宋体"/>
                <w:b/>
                <w:color w:val="auto"/>
                <w:sz w:val="21"/>
                <w:szCs w:val="21"/>
                <w:highlight w:val="none"/>
                <w:lang w:val="en-US" w:eastAsia="zh-CN"/>
              </w:rPr>
              <w:t>万</w:t>
            </w:r>
            <w:bookmarkStart w:id="21" w:name="_GoBack"/>
            <w:bookmarkEnd w:id="21"/>
            <w:r>
              <w:rPr>
                <w:rFonts w:hint="eastAsia" w:ascii="宋体" w:hAnsi="宋体"/>
                <w:b/>
                <w:color w:val="auto"/>
                <w:sz w:val="21"/>
                <w:szCs w:val="21"/>
                <w:highlight w:val="none"/>
              </w:rPr>
              <w:t>元）</w:t>
            </w:r>
          </w:p>
        </w:tc>
        <w:tc>
          <w:tcPr>
            <w:tcW w:w="1121" w:type="dxa"/>
            <w:tcBorders>
              <w:top w:val="single" w:color="auto" w:sz="4" w:space="0"/>
              <w:left w:val="single" w:color="auto" w:sz="4" w:space="0"/>
              <w:right w:val="single" w:color="auto" w:sz="4" w:space="0"/>
            </w:tcBorders>
            <w:vAlign w:val="center"/>
          </w:tcPr>
          <w:p>
            <w:pPr>
              <w:spacing w:line="360" w:lineRule="auto"/>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5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宋体"/>
                <w:color w:val="auto"/>
                <w:kern w:val="0"/>
                <w:sz w:val="21"/>
                <w:szCs w:val="21"/>
                <w:highlight w:val="none"/>
              </w:rPr>
            </w:pPr>
            <w:bookmarkStart w:id="3" w:name="_Hlk344477914"/>
            <w:r>
              <w:rPr>
                <w:rFonts w:hint="default" w:ascii="宋体" w:hAnsi="宋体" w:cs="Times New Roman"/>
                <w:color w:val="auto"/>
                <w:sz w:val="24"/>
                <w:szCs w:val="24"/>
                <w:highlight w:val="none"/>
                <w:lang w:val="en-US" w:eastAsia="zh-CN"/>
              </w:rPr>
              <w:t>重庆市文化遗产研究院关于</w:t>
            </w:r>
            <w:r>
              <w:rPr>
                <w:rFonts w:hint="eastAsia" w:ascii="宋体" w:hAnsi="宋体" w:cs="Times New Roman"/>
                <w:color w:val="auto"/>
                <w:sz w:val="24"/>
                <w:szCs w:val="24"/>
                <w:highlight w:val="none"/>
                <w:lang w:val="en-US" w:eastAsia="zh-CN"/>
              </w:rPr>
              <w:t>忠县三峡出土青铜器再修复保护专用</w:t>
            </w:r>
            <w:r>
              <w:rPr>
                <w:rFonts w:hint="default" w:ascii="宋体" w:hAnsi="宋体" w:cs="Times New Roman"/>
                <w:color w:val="auto"/>
                <w:sz w:val="24"/>
                <w:szCs w:val="24"/>
                <w:highlight w:val="none"/>
                <w:lang w:val="en-US" w:eastAsia="zh-CN"/>
              </w:rPr>
              <w:t>囊匣采购项目</w:t>
            </w:r>
          </w:p>
        </w:tc>
        <w:tc>
          <w:tcPr>
            <w:tcW w:w="17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default" w:ascii="宋体" w:hAnsi="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150件文物的147件囊匣</w:t>
            </w:r>
          </w:p>
        </w:tc>
        <w:tc>
          <w:tcPr>
            <w:tcW w:w="230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Times New Roman"/>
                <w:color w:val="auto"/>
                <w:sz w:val="24"/>
                <w:szCs w:val="24"/>
                <w:highlight w:val="none"/>
                <w:lang w:val="en-US" w:eastAsia="zh-CN"/>
              </w:rPr>
            </w:pPr>
            <w:r>
              <w:rPr>
                <w:rFonts w:hint="default" w:ascii="宋体" w:hAnsi="宋体" w:cs="Times New Roman"/>
                <w:color w:val="auto"/>
                <w:sz w:val="24"/>
                <w:szCs w:val="24"/>
                <w:highlight w:val="none"/>
                <w:lang w:val="en-US" w:eastAsia="zh-CN"/>
              </w:rPr>
              <w:t>7.5</w:t>
            </w:r>
            <w:r>
              <w:rPr>
                <w:rFonts w:hint="eastAsia" w:ascii="宋体" w:hAnsi="宋体" w:cs="Times New Roman"/>
                <w:color w:val="auto"/>
                <w:sz w:val="24"/>
                <w:szCs w:val="24"/>
                <w:highlight w:val="none"/>
                <w:lang w:val="en-US" w:eastAsia="zh-CN"/>
              </w:rPr>
              <w:t>万元</w:t>
            </w:r>
          </w:p>
        </w:tc>
        <w:tc>
          <w:tcPr>
            <w:tcW w:w="11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hint="eastAsia" w:ascii="宋体" w:hAnsi="宋体" w:cs="Times New Roman"/>
                <w:color w:val="auto"/>
                <w:sz w:val="24"/>
                <w:szCs w:val="24"/>
                <w:highlight w:val="none"/>
                <w:lang w:val="en-US" w:eastAsia="zh-CN"/>
              </w:rPr>
            </w:pPr>
          </w:p>
        </w:tc>
      </w:tr>
      <w:bookmarkEnd w:id="3"/>
    </w:tbl>
    <w:p>
      <w:pPr>
        <w:pStyle w:val="5"/>
        <w:spacing w:before="0" w:after="0" w:line="360" w:lineRule="auto"/>
        <w:rPr>
          <w:rFonts w:hint="eastAsia" w:ascii="宋体" w:hAnsi="宋体"/>
          <w:color w:val="auto"/>
          <w:sz w:val="24"/>
          <w:szCs w:val="24"/>
          <w:highlight w:val="none"/>
        </w:rPr>
      </w:pPr>
      <w:bookmarkStart w:id="4" w:name="_Toc18114"/>
      <w:bookmarkStart w:id="5" w:name="_Toc373860293"/>
      <w:bookmarkStart w:id="6" w:name="_Toc317775178"/>
      <w:r>
        <w:rPr>
          <w:rFonts w:hint="eastAsia" w:ascii="宋体" w:hAnsi="宋体"/>
          <w:color w:val="auto"/>
          <w:sz w:val="24"/>
          <w:szCs w:val="24"/>
          <w:highlight w:val="none"/>
        </w:rPr>
        <w:t>二、资金来源</w:t>
      </w:r>
      <w:bookmarkEnd w:id="4"/>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eastAsia="zh-CN"/>
        </w:rPr>
        <w:t>项目专项资金</w:t>
      </w:r>
      <w:r>
        <w:rPr>
          <w:rFonts w:hint="eastAsia" w:ascii="宋体" w:hAnsi="宋体"/>
          <w:color w:val="auto"/>
          <w:sz w:val="24"/>
          <w:szCs w:val="24"/>
          <w:highlight w:val="none"/>
        </w:rPr>
        <w:t>。</w:t>
      </w:r>
    </w:p>
    <w:p>
      <w:pPr>
        <w:pStyle w:val="5"/>
        <w:spacing w:before="0" w:after="0" w:line="360" w:lineRule="auto"/>
        <w:rPr>
          <w:rFonts w:hint="eastAsia" w:ascii="宋体" w:hAnsi="宋体"/>
          <w:color w:val="auto"/>
          <w:sz w:val="24"/>
          <w:szCs w:val="24"/>
          <w:highlight w:val="none"/>
        </w:rPr>
      </w:pPr>
      <w:bookmarkStart w:id="7" w:name="_Toc8648"/>
      <w:r>
        <w:rPr>
          <w:rFonts w:hint="eastAsia" w:ascii="宋体" w:hAnsi="宋体"/>
          <w:color w:val="auto"/>
          <w:sz w:val="24"/>
          <w:szCs w:val="24"/>
          <w:highlight w:val="none"/>
        </w:rPr>
        <w:t>三、</w:t>
      </w:r>
      <w:r>
        <w:rPr>
          <w:rFonts w:hint="eastAsia" w:ascii="宋体" w:hAnsi="宋体"/>
          <w:color w:val="auto"/>
          <w:sz w:val="24"/>
          <w:szCs w:val="24"/>
          <w:highlight w:val="none"/>
          <w:lang w:eastAsia="zh-CN"/>
        </w:rPr>
        <w:t>评审</w:t>
      </w:r>
      <w:r>
        <w:rPr>
          <w:rFonts w:hint="eastAsia" w:ascii="宋体" w:hAnsi="宋体"/>
          <w:color w:val="auto"/>
          <w:sz w:val="24"/>
          <w:szCs w:val="24"/>
          <w:highlight w:val="none"/>
        </w:rPr>
        <w:t>资格</w:t>
      </w:r>
      <w:bookmarkEnd w:id="7"/>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供应商是指向采购人提供服务或者货物的法人、其他组织或者自然人。合格的供应商应首先符合政府采购法第二十二条规定的基本资格条件，同时符合根据该项目特殊要求设置的特定资格条件。</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（一）基本资格条件</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1.具有独立承担民事责任的能力；</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2.具有良好的商业信誉和健全的财务会计制度；</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3.具有履行合同所必需的设备和专业技术能力；</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4.有依法缴纳税收和社会保障资金的良好记录；</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5.参加政府采购活动前三年内，在经营活动中没有重大违法记录；</w:t>
      </w:r>
    </w:p>
    <w:p>
      <w:pPr>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6.法律、行政法规规定的其他条件。</w:t>
      </w:r>
    </w:p>
    <w:bookmarkEnd w:id="5"/>
    <w:bookmarkEnd w:id="6"/>
    <w:p>
      <w:pPr>
        <w:pStyle w:val="5"/>
        <w:pageBreakBefore w:val="0"/>
        <w:kinsoku/>
        <w:wordWrap/>
        <w:overflowPunct/>
        <w:topLinePunct w:val="0"/>
        <w:autoSpaceDE/>
        <w:autoSpaceDN/>
        <w:bidi w:val="0"/>
        <w:spacing w:before="0" w:after="0" w:line="360" w:lineRule="auto"/>
        <w:textAlignment w:val="auto"/>
        <w:rPr>
          <w:rFonts w:hint="eastAsia" w:ascii="宋体" w:hAnsi="宋体"/>
          <w:b/>
          <w:color w:val="auto"/>
          <w:sz w:val="24"/>
          <w:szCs w:val="24"/>
          <w:highlight w:val="none"/>
        </w:rPr>
      </w:pPr>
      <w:bookmarkStart w:id="8" w:name="_Toc16766"/>
      <w:bookmarkStart w:id="9" w:name="_Toc8564"/>
      <w:bookmarkStart w:id="10" w:name="_Toc7117"/>
      <w:bookmarkStart w:id="11" w:name="_Toc480466700"/>
      <w:r>
        <w:rPr>
          <w:rFonts w:hint="eastAsia" w:ascii="宋体" w:hAnsi="宋体"/>
          <w:b/>
          <w:color w:val="auto"/>
          <w:sz w:val="24"/>
          <w:szCs w:val="24"/>
          <w:highlight w:val="none"/>
        </w:rPr>
        <w:t>四、</w:t>
      </w:r>
      <w:r>
        <w:rPr>
          <w:rFonts w:hint="eastAsia" w:ascii="宋体" w:hAnsi="宋体"/>
          <w:b/>
          <w:color w:val="auto"/>
          <w:sz w:val="24"/>
          <w:szCs w:val="24"/>
          <w:highlight w:val="none"/>
          <w:lang w:eastAsia="zh-CN"/>
        </w:rPr>
        <w:t>评审</w:t>
      </w:r>
      <w:r>
        <w:rPr>
          <w:rFonts w:hint="eastAsia" w:ascii="宋体" w:hAnsi="宋体"/>
          <w:b/>
          <w:color w:val="auto"/>
          <w:sz w:val="24"/>
          <w:szCs w:val="24"/>
          <w:highlight w:val="none"/>
        </w:rPr>
        <w:t>有关说明</w:t>
      </w:r>
      <w:bookmarkEnd w:id="8"/>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bookmarkStart w:id="12" w:name="_Toc6546"/>
      <w:bookmarkStart w:id="13" w:name="_Toc480466699"/>
      <w:bookmarkStart w:id="14" w:name="_Toc515284527"/>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）凡有意参加</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的供应商，请在</w:t>
      </w:r>
      <w:r>
        <w:rPr>
          <w:rFonts w:hint="eastAsia" w:ascii="宋体" w:hAnsi="宋体" w:eastAsia="宋体" w:cs="宋体"/>
          <w:color w:val="auto"/>
          <w:sz w:val="24"/>
          <w:szCs w:val="24"/>
          <w:highlight w:val="none"/>
          <w:u w:val="single"/>
          <w:lang w:eastAsia="zh-CN"/>
        </w:rPr>
        <w:t>重庆市文化遗产研究院</w:t>
      </w:r>
      <w:r>
        <w:rPr>
          <w:rFonts w:hint="eastAsia" w:ascii="宋体" w:hAnsi="宋体" w:eastAsia="宋体" w:cs="宋体"/>
          <w:color w:val="auto"/>
          <w:sz w:val="24"/>
          <w:szCs w:val="24"/>
          <w:highlight w:val="none"/>
          <w:u w:val="single"/>
        </w:rPr>
        <w:t>网上</w:t>
      </w:r>
      <w:r>
        <w:rPr>
          <w:rFonts w:hint="eastAsia" w:ascii="宋体" w:hAnsi="宋体" w:eastAsia="宋体" w:cs="宋体"/>
          <w:color w:val="auto"/>
          <w:sz w:val="24"/>
          <w:szCs w:val="24"/>
          <w:highlight w:val="none"/>
        </w:rPr>
        <w:t>下载本项目</w:t>
      </w:r>
      <w:r>
        <w:rPr>
          <w:rFonts w:hint="eastAsia" w:ascii="宋体" w:hAnsi="宋体" w:cs="宋体"/>
          <w:color w:val="auto"/>
          <w:sz w:val="24"/>
          <w:szCs w:val="24"/>
          <w:highlight w:val="none"/>
          <w:lang w:eastAsia="zh-CN"/>
        </w:rPr>
        <w:t>评审邀请函</w:t>
      </w:r>
      <w:r>
        <w:rPr>
          <w:rFonts w:hint="eastAsia" w:ascii="宋体" w:hAnsi="宋体" w:eastAsia="宋体" w:cs="宋体"/>
          <w:color w:val="auto"/>
          <w:sz w:val="24"/>
          <w:szCs w:val="24"/>
          <w:highlight w:val="none"/>
        </w:rPr>
        <w:t>以及图纸、补遗等</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前公布的所有项目资料，无论参加</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的供应商领取或下载与否，均视为已知晓所有</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内容。</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cs="宋体"/>
          <w:color w:val="auto"/>
          <w:sz w:val="24"/>
          <w:szCs w:val="24"/>
          <w:highlight w:val="none"/>
          <w:lang w:eastAsia="zh-CN"/>
        </w:rPr>
      </w:pPr>
      <w:bookmarkStart w:id="15" w:name="_Toc2120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评审邀请函</w:t>
      </w:r>
      <w:r>
        <w:rPr>
          <w:rFonts w:hint="eastAsia" w:ascii="宋体" w:hAnsi="宋体" w:eastAsia="宋体" w:cs="宋体"/>
          <w:color w:val="auto"/>
          <w:sz w:val="24"/>
          <w:szCs w:val="24"/>
          <w:highlight w:val="none"/>
        </w:rPr>
        <w:t>公告期限：自</w:t>
      </w:r>
      <w:r>
        <w:rPr>
          <w:rFonts w:hint="eastAsia" w:ascii="宋体" w:hAnsi="宋体" w:cs="宋体"/>
          <w:color w:val="auto"/>
          <w:sz w:val="24"/>
          <w:szCs w:val="24"/>
          <w:highlight w:val="none"/>
          <w:lang w:eastAsia="zh-CN"/>
        </w:rPr>
        <w:t>本</w:t>
      </w:r>
      <w:r>
        <w:rPr>
          <w:rFonts w:hint="eastAsia" w:ascii="宋体" w:hAnsi="宋体" w:eastAsia="宋体" w:cs="宋体"/>
          <w:color w:val="auto"/>
          <w:sz w:val="24"/>
          <w:szCs w:val="24"/>
          <w:highlight w:val="none"/>
        </w:rPr>
        <w:t>公告发布之</w:t>
      </w:r>
      <w:r>
        <w:rPr>
          <w:rFonts w:hint="eastAsia" w:ascii="宋体" w:hAnsi="宋体" w:cs="宋体"/>
          <w:color w:val="auto"/>
          <w:sz w:val="24"/>
          <w:szCs w:val="24"/>
          <w:highlight w:val="none"/>
          <w:lang w:eastAsia="zh-CN"/>
        </w:rPr>
        <w:t>日（20</w:t>
      </w:r>
      <w:r>
        <w:rPr>
          <w:rFonts w:hint="eastAsia" w:ascii="宋体" w:hAnsi="宋体" w:cs="宋体"/>
          <w:color w:val="auto"/>
          <w:sz w:val="24"/>
          <w:szCs w:val="24"/>
          <w:highlight w:val="none"/>
          <w:lang w:val="en-US" w:eastAsia="zh-CN"/>
        </w:rPr>
        <w:t>20</w:t>
      </w:r>
      <w:r>
        <w:rPr>
          <w:rFonts w:hint="eastAsia" w:ascii="宋体" w:hAnsi="宋体" w:cs="宋体"/>
          <w:color w:val="auto"/>
          <w:sz w:val="24"/>
          <w:szCs w:val="24"/>
          <w:highlight w:val="none"/>
          <w:lang w:eastAsia="zh-CN"/>
        </w:rPr>
        <w:t>年</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月</w:t>
      </w:r>
      <w:r>
        <w:rPr>
          <w:rFonts w:hint="eastAsia" w:ascii="宋体" w:hAnsi="宋体" w:cs="宋体"/>
          <w:color w:val="auto"/>
          <w:sz w:val="24"/>
          <w:szCs w:val="24"/>
          <w:highlight w:val="none"/>
          <w:lang w:val="en-US" w:eastAsia="zh-CN"/>
        </w:rPr>
        <w:t xml:space="preserve"> 11</w:t>
      </w:r>
      <w:r>
        <w:rPr>
          <w:rFonts w:hint="eastAsia" w:ascii="宋体" w:hAnsi="宋体" w:cs="宋体"/>
          <w:color w:val="auto"/>
          <w:sz w:val="24"/>
          <w:szCs w:val="24"/>
          <w:highlight w:val="none"/>
          <w:lang w:eastAsia="zh-CN"/>
        </w:rPr>
        <w:t>日）起三个工作日。</w:t>
      </w:r>
      <w:bookmarkEnd w:id="15"/>
    </w:p>
    <w:bookmarkEnd w:id="12"/>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bookmarkStart w:id="16" w:name="_Toc32325"/>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）供应商须满足以下</w:t>
      </w: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种要件，其</w:t>
      </w:r>
      <w:r>
        <w:rPr>
          <w:rFonts w:hint="eastAsia" w:ascii="宋体" w:hAnsi="宋体" w:cs="宋体"/>
          <w:color w:val="auto"/>
          <w:sz w:val="24"/>
          <w:szCs w:val="24"/>
          <w:highlight w:val="none"/>
          <w:lang w:eastAsia="zh-CN"/>
        </w:rPr>
        <w:t>参与评审</w:t>
      </w:r>
      <w:r>
        <w:rPr>
          <w:rFonts w:hint="eastAsia" w:ascii="宋体" w:hAnsi="宋体" w:eastAsia="宋体" w:cs="宋体"/>
          <w:color w:val="auto"/>
          <w:sz w:val="24"/>
          <w:szCs w:val="24"/>
          <w:highlight w:val="none"/>
        </w:rPr>
        <w:t>才被接受：</w:t>
      </w:r>
      <w:bookmarkEnd w:id="16"/>
    </w:p>
    <w:p>
      <w:pPr>
        <w:snapToGrid w:val="0"/>
        <w:spacing w:line="360" w:lineRule="auto"/>
        <w:ind w:firstLine="360" w:firstLineChars="150"/>
        <w:rPr>
          <w:rFonts w:ascii="宋体" w:hAnsi="宋体" w:cs="宋体"/>
          <w:color w:val="auto"/>
          <w:sz w:val="24"/>
          <w:szCs w:val="24"/>
          <w:highlight w:val="none"/>
        </w:rPr>
      </w:pPr>
      <w:bookmarkStart w:id="17" w:name="_Toc13267"/>
      <w:r>
        <w:rPr>
          <w:rFonts w:ascii="宋体" w:hAnsi="宋体" w:cs="宋体"/>
          <w:color w:val="auto"/>
          <w:sz w:val="24"/>
          <w:szCs w:val="24"/>
          <w:highlight w:val="none"/>
        </w:rPr>
        <w:t>1.</w:t>
      </w:r>
      <w:r>
        <w:rPr>
          <w:rFonts w:hint="eastAsia" w:ascii="宋体" w:hAnsi="宋体" w:cs="宋体"/>
          <w:color w:val="auto"/>
          <w:sz w:val="24"/>
          <w:szCs w:val="24"/>
          <w:highlight w:val="none"/>
        </w:rPr>
        <w:t>按时递交了评审文件；</w:t>
      </w:r>
      <w:bookmarkEnd w:id="17"/>
    </w:p>
    <w:p>
      <w:pPr>
        <w:snapToGrid w:val="0"/>
        <w:spacing w:line="360" w:lineRule="auto"/>
        <w:ind w:firstLine="360" w:firstLineChars="150"/>
        <w:rPr>
          <w:rFonts w:ascii="宋体" w:hAnsi="宋体" w:cs="宋体"/>
          <w:color w:val="auto"/>
          <w:sz w:val="24"/>
          <w:szCs w:val="24"/>
          <w:highlight w:val="none"/>
        </w:rPr>
      </w:pPr>
      <w:bookmarkStart w:id="18" w:name="_Toc31928"/>
      <w:r>
        <w:rPr>
          <w:rFonts w:hint="eastAsia" w:ascii="宋体" w:hAnsi="宋体" w:cs="宋体"/>
          <w:color w:val="auto"/>
          <w:sz w:val="24"/>
          <w:szCs w:val="24"/>
          <w:highlight w:val="none"/>
        </w:rPr>
        <w:t>2.按时报名签到；</w:t>
      </w:r>
      <w:bookmarkEnd w:id="18"/>
    </w:p>
    <w:p>
      <w:pPr>
        <w:snapToGrid w:val="0"/>
        <w:spacing w:line="360" w:lineRule="auto"/>
        <w:ind w:firstLine="360" w:firstLineChars="15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3.按时参加评审。</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eastAsia="zh-CN"/>
        </w:rPr>
        <w:t>重庆市文化遗产研究院会议室</w:t>
      </w:r>
      <w:r>
        <w:rPr>
          <w:rFonts w:hint="eastAsia" w:ascii="宋体" w:hAnsi="宋体" w:eastAsia="宋体" w:cs="宋体"/>
          <w:color w:val="auto"/>
          <w:sz w:val="24"/>
          <w:szCs w:val="24"/>
          <w:highlight w:val="none"/>
        </w:rPr>
        <w:t>。</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bookmarkStart w:id="19" w:name="_Toc19133"/>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评审报名</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u w:val="single"/>
        </w:rPr>
        <w:t>20</w:t>
      </w:r>
      <w:r>
        <w:rPr>
          <w:rFonts w:hint="eastAsia" w:ascii="宋体" w:hAnsi="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14</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北京时间</w:t>
      </w:r>
      <w:bookmarkEnd w:id="19"/>
      <w:r>
        <w:rPr>
          <w:rFonts w:hint="eastAsia" w:ascii="宋体" w:hAnsi="宋体" w:cs="宋体"/>
          <w:color w:val="auto"/>
          <w:sz w:val="24"/>
          <w:szCs w:val="24"/>
          <w:highlight w:val="none"/>
          <w:lang w:val="en-US" w:eastAsia="zh-CN"/>
        </w:rPr>
        <w:t>17:30</w:t>
      </w:r>
      <w:r>
        <w:rPr>
          <w:rFonts w:hint="eastAsia" w:ascii="宋体" w:hAnsi="宋体" w:eastAsia="宋体" w:cs="宋体"/>
          <w:color w:val="auto"/>
          <w:sz w:val="24"/>
          <w:szCs w:val="24"/>
          <w:highlight w:val="none"/>
        </w:rPr>
        <w:t xml:space="preserve">  </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报名方式：凭加盖单位鲜章的公函和法人委托书现场报名</w:t>
      </w:r>
      <w:r>
        <w:rPr>
          <w:rFonts w:hint="eastAsia" w:ascii="宋体" w:hAnsi="宋体" w:eastAsia="宋体" w:cs="宋体"/>
          <w:color w:val="auto"/>
          <w:sz w:val="24"/>
          <w:szCs w:val="24"/>
          <w:highlight w:val="none"/>
        </w:rPr>
        <w:t xml:space="preserve">      </w:t>
      </w:r>
    </w:p>
    <w:p>
      <w:pPr>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bookmarkStart w:id="20" w:name="_Toc7721"/>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rPr>
        <w:t>20</w:t>
      </w:r>
      <w:r>
        <w:rPr>
          <w:rFonts w:hint="eastAsia" w:ascii="宋体" w:hAnsi="宋体" w:cs="宋体"/>
          <w:color w:val="auto"/>
          <w:sz w:val="24"/>
          <w:szCs w:val="24"/>
          <w:highlight w:val="none"/>
          <w:u w:val="single"/>
          <w:lang w:val="en-US" w:eastAsia="zh-CN"/>
        </w:rPr>
        <w:t>20</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月</w:t>
      </w:r>
      <w:r>
        <w:rPr>
          <w:rFonts w:hint="eastAsia" w:ascii="宋体" w:hAnsi="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日北京时间</w:t>
      </w:r>
      <w:bookmarkEnd w:id="20"/>
      <w:r>
        <w:rPr>
          <w:rFonts w:hint="eastAsia" w:ascii="宋体" w:hAnsi="宋体" w:cs="宋体"/>
          <w:color w:val="auto"/>
          <w:sz w:val="24"/>
          <w:szCs w:val="24"/>
          <w:highlight w:val="none"/>
          <w:lang w:val="en-US" w:eastAsia="zh-CN"/>
        </w:rPr>
        <w:t>10:00</w:t>
      </w:r>
      <w:r>
        <w:rPr>
          <w:rFonts w:hint="eastAsia" w:ascii="宋体" w:hAnsi="宋体" w:eastAsia="宋体" w:cs="宋体"/>
          <w:color w:val="auto"/>
          <w:sz w:val="24"/>
          <w:szCs w:val="24"/>
          <w:highlight w:val="none"/>
        </w:rPr>
        <w:t xml:space="preserve">   </w:t>
      </w:r>
    </w:p>
    <w:p>
      <w:pPr>
        <w:pStyle w:val="5"/>
        <w:pageBreakBefore w:val="0"/>
        <w:kinsoku/>
        <w:wordWrap/>
        <w:overflowPunct/>
        <w:topLinePunct w:val="0"/>
        <w:autoSpaceDE/>
        <w:autoSpaceDN/>
        <w:bidi w:val="0"/>
        <w:spacing w:before="0" w:after="0" w:line="360" w:lineRule="auto"/>
        <w:textAlignment w:val="auto"/>
        <w:rPr>
          <w:rFonts w:hint="eastAsia" w:ascii="宋体" w:hAnsi="宋体"/>
          <w:b/>
          <w:color w:val="auto"/>
          <w:sz w:val="24"/>
          <w:szCs w:val="24"/>
          <w:highlight w:val="none"/>
        </w:rPr>
      </w:pPr>
      <w:r>
        <w:rPr>
          <w:rFonts w:hint="eastAsia" w:ascii="宋体" w:hAnsi="宋体"/>
          <w:b/>
          <w:color w:val="auto"/>
          <w:sz w:val="24"/>
          <w:szCs w:val="24"/>
          <w:highlight w:val="none"/>
          <w:lang w:eastAsia="zh-CN"/>
        </w:rPr>
        <w:t>五</w:t>
      </w:r>
      <w:r>
        <w:rPr>
          <w:rFonts w:hint="eastAsia" w:ascii="宋体" w:hAnsi="宋体"/>
          <w:b/>
          <w:color w:val="auto"/>
          <w:sz w:val="24"/>
          <w:szCs w:val="24"/>
          <w:highlight w:val="none"/>
        </w:rPr>
        <w:t>、其它有关规定</w:t>
      </w:r>
      <w:bookmarkEnd w:id="13"/>
      <w:bookmarkEnd w:id="14"/>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（一）单位负责人为同一人或者存在直接控股、管理关系的不同供应商，不得同时参与此次</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（二）本项目的补遗文件（如果有），请各供应商到</w:t>
      </w:r>
      <w:r>
        <w:rPr>
          <w:rFonts w:hint="eastAsia" w:ascii="宋体" w:hAnsi="宋体" w:eastAsia="宋体" w:cs="宋体"/>
          <w:color w:val="auto"/>
          <w:sz w:val="24"/>
          <w:szCs w:val="24"/>
          <w:highlight w:val="none"/>
          <w:u w:val="single"/>
          <w:lang w:eastAsia="zh-CN"/>
        </w:rPr>
        <w:t>重庆市文化遗产研究院</w:t>
      </w:r>
      <w:r>
        <w:rPr>
          <w:rFonts w:hint="eastAsia" w:ascii="宋体" w:hAnsi="宋体" w:eastAsia="宋体" w:cs="宋体"/>
          <w:color w:val="auto"/>
          <w:sz w:val="24"/>
          <w:szCs w:val="24"/>
          <w:highlight w:val="none"/>
          <w:u w:val="single"/>
        </w:rPr>
        <w:t>网上</w:t>
      </w:r>
      <w:r>
        <w:rPr>
          <w:rFonts w:hint="eastAsia" w:ascii="宋体" w:hAnsi="宋体" w:eastAsia="宋体" w:cs="宋体"/>
          <w:color w:val="auto"/>
          <w:sz w:val="24"/>
          <w:szCs w:val="24"/>
          <w:highlight w:val="none"/>
        </w:rPr>
        <w:t>下载；无论供应商</w:t>
      </w:r>
      <w:r>
        <w:rPr>
          <w:rFonts w:hint="eastAsia" w:ascii="宋体" w:hAnsi="宋体" w:cs="宋体"/>
          <w:color w:val="auto"/>
          <w:sz w:val="24"/>
          <w:szCs w:val="24"/>
          <w:highlight w:val="none"/>
          <w:lang w:eastAsia="zh-CN"/>
        </w:rPr>
        <w:t>下载与否</w:t>
      </w:r>
      <w:r>
        <w:rPr>
          <w:rFonts w:hint="eastAsia" w:ascii="宋体" w:hAnsi="宋体" w:eastAsia="宋体" w:cs="宋体"/>
          <w:color w:val="auto"/>
          <w:sz w:val="24"/>
          <w:szCs w:val="24"/>
          <w:highlight w:val="none"/>
        </w:rPr>
        <w:t>，均视同供应商已知晓本项目补遗文件（如果有）的内容。</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（三）超过响应文件截止时间递交的响应文件，恕不接收。</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）本项目不接受联合体参与</w:t>
      </w:r>
      <w:r>
        <w:rPr>
          <w:rFonts w:hint="eastAsia" w:ascii="宋体" w:hAnsi="宋体" w:cs="宋体"/>
          <w:color w:val="auto"/>
          <w:sz w:val="24"/>
          <w:szCs w:val="24"/>
          <w:highlight w:val="none"/>
          <w:lang w:eastAsia="zh-CN"/>
        </w:rPr>
        <w:t>评审</w:t>
      </w:r>
      <w:r>
        <w:rPr>
          <w:rFonts w:hint="eastAsia" w:ascii="宋体" w:hAnsi="宋体" w:eastAsia="宋体" w:cs="宋体"/>
          <w:color w:val="auto"/>
          <w:sz w:val="24"/>
          <w:szCs w:val="24"/>
          <w:highlight w:val="none"/>
        </w:rPr>
        <w:t>。</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）不允许分包、转包。</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w:t>
      </w:r>
      <w:r>
        <w:rPr>
          <w:rFonts w:hint="eastAsia" w:ascii="宋体" w:hAnsi="宋体" w:cs="宋体"/>
          <w:color w:val="auto"/>
          <w:sz w:val="24"/>
          <w:szCs w:val="24"/>
          <w:highlight w:val="none"/>
          <w:lang w:eastAsia="zh-CN"/>
        </w:rPr>
        <w:t>本院评审</w:t>
      </w:r>
      <w:r>
        <w:rPr>
          <w:rFonts w:hint="eastAsia" w:ascii="宋体" w:hAnsi="宋体" w:eastAsia="宋体" w:cs="宋体"/>
          <w:color w:val="auto"/>
          <w:sz w:val="24"/>
          <w:szCs w:val="24"/>
          <w:highlight w:val="none"/>
        </w:rPr>
        <w:t>。</w:t>
      </w:r>
    </w:p>
    <w:p>
      <w:pPr>
        <w:pStyle w:val="5"/>
        <w:spacing w:before="0" w:after="0" w:line="360" w:lineRule="auto"/>
        <w:rPr>
          <w:rFonts w:hint="eastAsia" w:ascii="宋体" w:hAnsi="宋体"/>
          <w:color w:val="auto"/>
          <w:sz w:val="24"/>
          <w:szCs w:val="24"/>
          <w:highlight w:val="none"/>
        </w:rPr>
      </w:pPr>
      <w:r>
        <w:rPr>
          <w:rFonts w:hint="eastAsia" w:ascii="宋体" w:hAnsi="宋体"/>
          <w:color w:val="auto"/>
          <w:sz w:val="24"/>
          <w:szCs w:val="24"/>
          <w:highlight w:val="none"/>
          <w:lang w:eastAsia="zh-CN"/>
        </w:rPr>
        <w:t>六</w:t>
      </w:r>
      <w:r>
        <w:rPr>
          <w:rFonts w:hint="eastAsia" w:ascii="宋体" w:hAnsi="宋体"/>
          <w:color w:val="auto"/>
          <w:sz w:val="24"/>
          <w:szCs w:val="24"/>
          <w:highlight w:val="none"/>
        </w:rPr>
        <w:t>、联系方式</w:t>
      </w:r>
      <w:bookmarkEnd w:id="9"/>
      <w:bookmarkEnd w:id="10"/>
      <w:bookmarkEnd w:id="11"/>
    </w:p>
    <w:p>
      <w:pPr>
        <w:spacing w:line="360" w:lineRule="auto"/>
        <w:ind w:firstLine="240" w:firstLineChars="100"/>
        <w:rPr>
          <w:rFonts w:hint="eastAsia" w:ascii="宋体" w:hAnsi="宋体"/>
          <w:color w:val="auto"/>
          <w:sz w:val="32"/>
          <w:szCs w:val="28"/>
          <w:highlight w:val="none"/>
        </w:rPr>
      </w:pPr>
      <w:r>
        <w:rPr>
          <w:rFonts w:hint="eastAsia" w:ascii="宋体" w:hAnsi="宋体"/>
          <w:color w:val="auto"/>
          <w:sz w:val="24"/>
          <w:szCs w:val="24"/>
          <w:highlight w:val="none"/>
        </w:rPr>
        <w:t>采购人：重庆市文化遗产研究院</w:t>
      </w:r>
    </w:p>
    <w:p>
      <w:pPr>
        <w:snapToGrid w:val="0"/>
        <w:spacing w:line="360" w:lineRule="auto"/>
        <w:ind w:firstLine="278" w:firstLineChars="116"/>
        <w:rPr>
          <w:rFonts w:hint="eastAsia" w:ascii="宋体" w:hAnsi="宋体"/>
          <w:color w:val="auto"/>
          <w:sz w:val="24"/>
          <w:szCs w:val="24"/>
          <w:highlight w:val="none"/>
        </w:rPr>
      </w:pPr>
      <w:r>
        <w:rPr>
          <w:rFonts w:hint="eastAsia" w:ascii="宋体" w:hAnsi="宋体"/>
          <w:color w:val="auto"/>
          <w:sz w:val="24"/>
          <w:szCs w:val="24"/>
          <w:highlight w:val="none"/>
        </w:rPr>
        <w:t>联系人：陈老师</w:t>
      </w:r>
    </w:p>
    <w:p>
      <w:pPr>
        <w:snapToGrid w:val="0"/>
        <w:spacing w:line="360" w:lineRule="auto"/>
        <w:ind w:firstLine="278" w:firstLineChars="116"/>
        <w:rPr>
          <w:rFonts w:hint="eastAsia" w:ascii="宋体" w:hAnsi="宋体"/>
          <w:color w:val="auto"/>
          <w:sz w:val="24"/>
          <w:szCs w:val="24"/>
          <w:highlight w:val="none"/>
        </w:rPr>
      </w:pPr>
      <w:r>
        <w:rPr>
          <w:rFonts w:hint="eastAsia" w:ascii="宋体" w:hAnsi="宋体"/>
          <w:color w:val="auto"/>
          <w:sz w:val="24"/>
          <w:szCs w:val="24"/>
          <w:highlight w:val="none"/>
        </w:rPr>
        <w:t>电  话：（023）</w:t>
      </w:r>
      <w:r>
        <w:rPr>
          <w:rFonts w:ascii="宋体" w:hAnsi="宋体"/>
          <w:color w:val="auto"/>
          <w:sz w:val="24"/>
          <w:szCs w:val="24"/>
          <w:highlight w:val="none"/>
        </w:rPr>
        <w:t>63524320</w:t>
      </w:r>
    </w:p>
    <w:p>
      <w:pPr>
        <w:snapToGrid w:val="0"/>
        <w:spacing w:line="360" w:lineRule="auto"/>
        <w:ind w:firstLine="278" w:firstLineChars="116"/>
        <w:rPr>
          <w:rFonts w:ascii="宋体" w:hAnsi="宋体"/>
          <w:color w:val="auto"/>
          <w:sz w:val="24"/>
          <w:szCs w:val="24"/>
          <w:highlight w:val="none"/>
        </w:rPr>
      </w:pPr>
      <w:r>
        <w:rPr>
          <w:rFonts w:hint="eastAsia" w:ascii="宋体" w:hAnsi="宋体"/>
          <w:color w:val="auto"/>
          <w:sz w:val="24"/>
          <w:szCs w:val="24"/>
          <w:highlight w:val="none"/>
        </w:rPr>
        <w:t>地  址：</w:t>
      </w:r>
      <w:r>
        <w:rPr>
          <w:rFonts w:ascii="宋体" w:hAnsi="宋体"/>
          <w:color w:val="auto"/>
          <w:sz w:val="24"/>
          <w:szCs w:val="24"/>
          <w:highlight w:val="none"/>
        </w:rPr>
        <w:t>重庆市渝中区枇杷山正街72号</w:t>
      </w:r>
    </w:p>
    <w:p>
      <w:pPr>
        <w:pStyle w:val="5"/>
        <w:spacing w:before="0" w:after="0" w:line="360" w:lineRule="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七、评审</w:t>
      </w:r>
      <w:r>
        <w:rPr>
          <w:rFonts w:hint="eastAsia" w:ascii="宋体" w:hAnsi="宋体"/>
          <w:color w:val="auto"/>
          <w:sz w:val="24"/>
          <w:szCs w:val="24"/>
          <w:highlight w:val="none"/>
        </w:rPr>
        <w:t>文件的组成</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（一）报价一览表（</w:t>
      </w:r>
      <w:r>
        <w:rPr>
          <w:rFonts w:hint="eastAsia" w:ascii="宋体" w:hAnsi="宋体" w:eastAsia="宋体" w:cs="宋体"/>
          <w:color w:val="auto"/>
          <w:sz w:val="24"/>
          <w:szCs w:val="24"/>
          <w:highlight w:val="none"/>
          <w:lang w:val="en-US" w:eastAsia="zh-CN"/>
        </w:rPr>
        <w:t>自行编写</w:t>
      </w:r>
      <w:r>
        <w:rPr>
          <w:rFonts w:hint="eastAsia" w:ascii="宋体" w:hAnsi="宋体" w:eastAsia="宋体" w:cs="宋体"/>
          <w:color w:val="auto"/>
          <w:sz w:val="24"/>
          <w:szCs w:val="24"/>
          <w:highlight w:val="none"/>
        </w:rPr>
        <w:t>）（加盖公章）</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二</w:t>
      </w:r>
      <w:r>
        <w:rPr>
          <w:rFonts w:hint="eastAsia" w:ascii="宋体" w:hAnsi="宋体" w:eastAsia="宋体" w:cs="宋体"/>
          <w:color w:val="auto"/>
          <w:sz w:val="24"/>
          <w:szCs w:val="24"/>
          <w:highlight w:val="none"/>
        </w:rPr>
        <w:t xml:space="preserve">）证明报价人有资格报价以及有能力履行合同（包括售后服务的有关说明）的证明文件。                                                                                       </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三</w:t>
      </w:r>
      <w:r>
        <w:rPr>
          <w:rFonts w:hint="eastAsia" w:ascii="宋体" w:hAnsi="宋体" w:eastAsia="宋体" w:cs="宋体"/>
          <w:color w:val="auto"/>
          <w:sz w:val="24"/>
          <w:szCs w:val="24"/>
          <w:highlight w:val="none"/>
        </w:rPr>
        <w:t>）证明报价人提供及其辅助服务是合格的，并符合</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文件要求的证明文件。</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四</w:t>
      </w:r>
      <w:r>
        <w:rPr>
          <w:rFonts w:hint="eastAsia" w:ascii="宋体" w:hAnsi="宋体" w:eastAsia="宋体" w:cs="宋体"/>
          <w:color w:val="auto"/>
          <w:sz w:val="24"/>
          <w:szCs w:val="24"/>
          <w:highlight w:val="none"/>
        </w:rPr>
        <w:t>）法人代表授权书（</w:t>
      </w:r>
      <w:r>
        <w:rPr>
          <w:rFonts w:hint="eastAsia" w:ascii="宋体" w:hAnsi="宋体" w:eastAsia="宋体" w:cs="宋体"/>
          <w:color w:val="auto"/>
          <w:sz w:val="24"/>
          <w:szCs w:val="24"/>
          <w:highlight w:val="none"/>
          <w:lang w:val="en-US" w:eastAsia="zh-CN"/>
        </w:rPr>
        <w:t>自行编写</w:t>
      </w:r>
      <w:r>
        <w:rPr>
          <w:rFonts w:hint="eastAsia" w:ascii="宋体" w:hAnsi="宋体" w:eastAsia="宋体" w:cs="宋体"/>
          <w:color w:val="auto"/>
          <w:sz w:val="24"/>
          <w:szCs w:val="24"/>
          <w:highlight w:val="none"/>
        </w:rPr>
        <w:t>）（加盖公章）</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五</w:t>
      </w:r>
      <w:r>
        <w:rPr>
          <w:rFonts w:hint="eastAsia" w:ascii="宋体" w:hAnsi="宋体" w:eastAsia="宋体" w:cs="宋体"/>
          <w:color w:val="auto"/>
          <w:sz w:val="24"/>
          <w:szCs w:val="24"/>
          <w:highlight w:val="none"/>
        </w:rPr>
        <w:t>）规格响应表（</w:t>
      </w:r>
      <w:r>
        <w:rPr>
          <w:rFonts w:hint="eastAsia" w:ascii="宋体" w:hAnsi="宋体" w:eastAsia="宋体" w:cs="宋体"/>
          <w:color w:val="auto"/>
          <w:sz w:val="24"/>
          <w:szCs w:val="24"/>
          <w:highlight w:val="none"/>
          <w:lang w:val="en-US" w:eastAsia="zh-CN"/>
        </w:rPr>
        <w:t>自行编写</w:t>
      </w:r>
      <w:r>
        <w:rPr>
          <w:rFonts w:hint="eastAsia" w:ascii="宋体" w:hAnsi="宋体" w:eastAsia="宋体" w:cs="宋体"/>
          <w:color w:val="auto"/>
          <w:sz w:val="24"/>
          <w:szCs w:val="24"/>
          <w:highlight w:val="none"/>
        </w:rPr>
        <w:t>）（加盖公章）</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六</w:t>
      </w:r>
      <w:r>
        <w:rPr>
          <w:rFonts w:hint="eastAsia" w:ascii="宋体" w:hAnsi="宋体" w:eastAsia="宋体" w:cs="宋体"/>
          <w:color w:val="auto"/>
          <w:sz w:val="24"/>
          <w:szCs w:val="24"/>
          <w:highlight w:val="none"/>
        </w:rPr>
        <w:t>）营业执照复印件(加盖公章)</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七</w:t>
      </w:r>
      <w:r>
        <w:rPr>
          <w:rFonts w:hint="eastAsia" w:ascii="宋体" w:hAnsi="宋体" w:eastAsia="宋体" w:cs="宋体"/>
          <w:color w:val="auto"/>
          <w:sz w:val="24"/>
          <w:szCs w:val="24"/>
          <w:highlight w:val="none"/>
        </w:rPr>
        <w:t>）报价文件：（加盖公章、注明项目名称、编号、联系人姓名、电话、传真、移动电话）</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八</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售后服务及承诺</w:t>
      </w:r>
    </w:p>
    <w:p>
      <w:pPr>
        <w:pageBreakBefore w:val="0"/>
        <w:kinsoku/>
        <w:wordWrap/>
        <w:overflowPunct/>
        <w:topLinePunct w:val="0"/>
        <w:autoSpaceDE/>
        <w:autoSpaceDN/>
        <w:bidi w:val="0"/>
        <w:snapToGrid w:val="0"/>
        <w:spacing w:line="360" w:lineRule="auto"/>
        <w:ind w:firstLine="360" w:firstLineChars="15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rPr>
        <w:t>文件一正</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rPr>
        <w:t>副，应标明“正本”或“副本”，正本和副本如有不一致之处，以正本为准</w:t>
      </w:r>
    </w:p>
    <w:p>
      <w:pPr>
        <w:pStyle w:val="5"/>
        <w:spacing w:before="0" w:after="0" w:line="360" w:lineRule="auto"/>
        <w:rPr>
          <w:rFonts w:hint="default" w:ascii="宋体" w:hAnsi="宋体"/>
          <w:color w:val="auto"/>
          <w:sz w:val="24"/>
          <w:szCs w:val="24"/>
          <w:highlight w:val="none"/>
          <w:lang w:val="en-US" w:eastAsia="zh-CN"/>
        </w:rPr>
      </w:pPr>
      <w:r>
        <w:rPr>
          <w:rFonts w:hint="eastAsia" w:ascii="宋体" w:hAnsi="宋体"/>
          <w:color w:val="auto"/>
          <w:sz w:val="24"/>
          <w:szCs w:val="24"/>
          <w:highlight w:val="none"/>
          <w:lang w:val="en-US" w:eastAsia="zh-CN"/>
        </w:rPr>
        <w:t>八</w:t>
      </w: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评审文件技术要求</w:t>
      </w:r>
    </w:p>
    <w:p>
      <w:pPr>
        <w:pageBreakBefore w:val="0"/>
        <w:kinsoku/>
        <w:wordWrap/>
        <w:overflowPunct/>
        <w:topLinePunct w:val="0"/>
        <w:autoSpaceDE/>
        <w:autoSpaceDN/>
        <w:bidi w:val="0"/>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1、制作囊匣具体</w:t>
      </w:r>
      <w:r>
        <w:rPr>
          <w:rFonts w:hint="eastAsia" w:ascii="宋体" w:hAnsi="宋体" w:eastAsia="宋体" w:cs="宋体"/>
          <w:color w:val="auto"/>
          <w:sz w:val="24"/>
          <w:szCs w:val="24"/>
          <w:highlight w:val="none"/>
        </w:rPr>
        <w:t>目标</w:t>
      </w:r>
    </w:p>
    <w:p>
      <w:pPr>
        <w:numPr>
          <w:ilvl w:val="0"/>
          <w:numId w:val="0"/>
        </w:numPr>
        <w:tabs>
          <w:tab w:val="left" w:pos="567"/>
        </w:tabs>
        <w:spacing w:line="360" w:lineRule="auto"/>
        <w:ind w:firstLine="480" w:firstLineChars="200"/>
        <w:rPr>
          <w:rFonts w:ascii="宋体" w:hAnsi="宋体" w:cs="宋体"/>
          <w:sz w:val="24"/>
          <w:szCs w:val="24"/>
          <w:highlight w:val="none"/>
        </w:rPr>
      </w:pPr>
      <w:r>
        <w:rPr>
          <w:rFonts w:hint="eastAsia" w:ascii="宋体" w:hAnsi="宋体" w:cs="Arial"/>
          <w:sz w:val="24"/>
          <w:szCs w:val="24"/>
          <w:highlight w:val="none"/>
          <w:shd w:val="clear" w:color="auto" w:fill="FFFFFF"/>
          <w:lang w:val="en-US" w:eastAsia="zh-CN"/>
        </w:rPr>
        <w:t>本次为</w:t>
      </w:r>
      <w:r>
        <w:rPr>
          <w:rFonts w:hint="eastAsia" w:ascii="宋体" w:hAnsi="宋体" w:cs="Arial"/>
          <w:sz w:val="24"/>
          <w:szCs w:val="24"/>
          <w:highlight w:val="none"/>
          <w:u w:val="single"/>
          <w:shd w:val="clear" w:color="auto" w:fill="FFFFFF"/>
        </w:rPr>
        <w:t>忠县三峡出土青铜器再修复保护专用</w:t>
      </w:r>
      <w:r>
        <w:rPr>
          <w:rFonts w:hint="eastAsia" w:ascii="宋体" w:hAnsi="宋体" w:cs="Arial"/>
          <w:sz w:val="24"/>
          <w:szCs w:val="24"/>
          <w:highlight w:val="none"/>
          <w:shd w:val="clear" w:color="auto" w:fill="FFFFFF"/>
          <w:lang w:val="en-US" w:eastAsia="zh-CN"/>
        </w:rPr>
        <w:t>保护装具采购项目，</w:t>
      </w:r>
      <w:r>
        <w:rPr>
          <w:rFonts w:hint="eastAsia" w:ascii="宋体" w:hAnsi="宋体" w:cs="宋体"/>
          <w:sz w:val="24"/>
          <w:szCs w:val="24"/>
          <w:highlight w:val="none"/>
        </w:rPr>
        <w:t>囊匣配置项目的目的是为珍贵文物营造一个“稳定、洁净”的安全保存微环境。因此，文物囊匣制作材料应满足文物参数标准，囊匣制作选材必须采用无酸材料制作</w:t>
      </w:r>
      <w:r>
        <w:rPr>
          <w:rFonts w:hint="eastAsia" w:ascii="宋体" w:hAnsi="宋体" w:cs="宋体"/>
          <w:sz w:val="24"/>
          <w:szCs w:val="24"/>
          <w:highlight w:val="none"/>
          <w:lang w:eastAsia="zh-CN"/>
        </w:rPr>
        <w:t>，</w:t>
      </w:r>
      <w:r>
        <w:rPr>
          <w:rFonts w:hint="eastAsia" w:ascii="宋体" w:hAnsi="宋体" w:cs="宋体"/>
          <w:sz w:val="24"/>
          <w:szCs w:val="24"/>
          <w:highlight w:val="none"/>
        </w:rPr>
        <w:t>囊匣的整体设计要求科学合理，结构稳定，使用方便、美观大方。囊匣尺寸应兼顾文物存放和柜架摆放要求。囊匣要求结实耐用，对外力有较好的减缓作用；闭合紧密，具有良好的防潮、防尘、防虫、防霉、防空气污染作用；开合方便，便于文物从容取放和移动。</w:t>
      </w:r>
    </w:p>
    <w:p>
      <w:pPr>
        <w:spacing w:line="360" w:lineRule="auto"/>
        <w:ind w:firstLine="360" w:firstLineChars="150"/>
        <w:rPr>
          <w:rFonts w:hint="eastAsia" w:ascii="微软雅黑" w:hAnsi="微软雅黑" w:eastAsia="微软雅黑" w:cs="宋体"/>
          <w:color w:val="666666"/>
          <w:kern w:val="0"/>
          <w:sz w:val="17"/>
          <w:szCs w:val="17"/>
          <w:highlight w:val="none"/>
        </w:rPr>
      </w:pPr>
      <w:r>
        <w:rPr>
          <w:rFonts w:ascii="宋体" w:hAnsi="宋体" w:cs="Arial"/>
          <w:sz w:val="24"/>
          <w:szCs w:val="24"/>
          <w:highlight w:val="none"/>
          <w:shd w:val="clear" w:color="auto" w:fill="FFFFFF"/>
        </w:rPr>
        <w:t>文物囊匣就是文物工作者根据</w:t>
      </w:r>
      <w:r>
        <w:rPr>
          <w:rFonts w:ascii="宋体" w:hAnsi="宋体" w:cs="Arial"/>
          <w:sz w:val="24"/>
          <w:szCs w:val="24"/>
          <w:highlight w:val="none"/>
          <w:shd w:val="clear" w:color="auto" w:fill="FFFFFF"/>
        </w:rPr>
        <w:fldChar w:fldCharType="begin"/>
      </w:r>
      <w:r>
        <w:rPr>
          <w:rFonts w:ascii="宋体" w:hAnsi="宋体" w:cs="Arial"/>
          <w:sz w:val="24"/>
          <w:szCs w:val="24"/>
          <w:highlight w:val="none"/>
          <w:shd w:val="clear" w:color="auto" w:fill="FFFFFF"/>
        </w:rPr>
        <w:instrText xml:space="preserve"> HYPERLINK "http://baike.baidu.com/subview/5164/8050301.htm" \t "_blank" </w:instrText>
      </w:r>
      <w:r>
        <w:rPr>
          <w:rFonts w:ascii="宋体" w:hAnsi="宋体" w:cs="Arial"/>
          <w:sz w:val="24"/>
          <w:szCs w:val="24"/>
          <w:highlight w:val="none"/>
          <w:shd w:val="clear" w:color="auto" w:fill="FFFFFF"/>
        </w:rPr>
        <w:fldChar w:fldCharType="separate"/>
      </w:r>
      <w:r>
        <w:rPr>
          <w:rFonts w:ascii="宋体" w:hAnsi="宋体" w:cs="Arial"/>
          <w:sz w:val="24"/>
          <w:szCs w:val="24"/>
          <w:highlight w:val="none"/>
          <w:shd w:val="clear" w:color="auto" w:fill="FFFFFF"/>
        </w:rPr>
        <w:t>文物</w:t>
      </w:r>
      <w:r>
        <w:rPr>
          <w:rFonts w:ascii="宋体" w:hAnsi="宋体" w:cs="Arial"/>
          <w:sz w:val="24"/>
          <w:szCs w:val="24"/>
          <w:highlight w:val="none"/>
          <w:shd w:val="clear" w:color="auto" w:fill="FFFFFF"/>
        </w:rPr>
        <w:fldChar w:fldCharType="end"/>
      </w:r>
      <w:r>
        <w:rPr>
          <w:rFonts w:ascii="宋体" w:hAnsi="宋体" w:cs="Arial"/>
          <w:sz w:val="24"/>
          <w:szCs w:val="24"/>
          <w:highlight w:val="none"/>
          <w:shd w:val="clear" w:color="auto" w:fill="FFFFFF"/>
        </w:rPr>
        <w:t>的材质、形状、器形的大小、重量等多种因素，选用特殊的材料</w:t>
      </w:r>
      <w:r>
        <w:rPr>
          <w:rFonts w:hint="eastAsia" w:ascii="宋体" w:hAnsi="宋体" w:cs="Arial"/>
          <w:sz w:val="24"/>
          <w:szCs w:val="24"/>
          <w:highlight w:val="none"/>
          <w:shd w:val="clear" w:color="auto" w:fill="FFFFFF"/>
        </w:rPr>
        <w:t>，</w:t>
      </w:r>
      <w:r>
        <w:rPr>
          <w:rFonts w:ascii="Arial" w:hAnsi="Arial" w:cs="Arial"/>
          <w:color w:val="333333"/>
          <w:sz w:val="24"/>
          <w:szCs w:val="24"/>
          <w:highlight w:val="none"/>
          <w:shd w:val="clear" w:color="auto" w:fill="FFFFFF"/>
        </w:rPr>
        <w:t>从保护文物的角度出发，为不同类型的文物制作不同品式、不同内装结构的囊匣，其内装结构的设计不仅</w:t>
      </w:r>
      <w:r>
        <w:rPr>
          <w:rFonts w:hint="eastAsia" w:ascii="Arial" w:hAnsi="Arial" w:cs="Arial"/>
          <w:color w:val="333333"/>
          <w:sz w:val="24"/>
          <w:szCs w:val="24"/>
          <w:highlight w:val="none"/>
          <w:shd w:val="clear" w:color="auto" w:fill="FFFFFF"/>
        </w:rPr>
        <w:t>能够</w:t>
      </w:r>
      <w:r>
        <w:rPr>
          <w:rFonts w:ascii="Arial" w:hAnsi="Arial" w:cs="Arial"/>
          <w:color w:val="333333"/>
          <w:sz w:val="24"/>
          <w:szCs w:val="24"/>
          <w:highlight w:val="none"/>
          <w:shd w:val="clear" w:color="auto" w:fill="FFFFFF"/>
        </w:rPr>
        <w:t>把握文物的整体情况，</w:t>
      </w:r>
      <w:r>
        <w:rPr>
          <w:rFonts w:hint="eastAsia" w:ascii="Arial" w:hAnsi="Arial" w:cs="Arial"/>
          <w:color w:val="333333"/>
          <w:sz w:val="24"/>
          <w:szCs w:val="24"/>
          <w:highlight w:val="none"/>
          <w:shd w:val="clear" w:color="auto" w:fill="FFFFFF"/>
        </w:rPr>
        <w:t>而且还能够通过特殊的六面体结构能够</w:t>
      </w:r>
      <w:r>
        <w:rPr>
          <w:rFonts w:ascii="Arial" w:hAnsi="Arial" w:cs="Arial"/>
          <w:color w:val="333333"/>
          <w:sz w:val="24"/>
          <w:szCs w:val="24"/>
          <w:highlight w:val="none"/>
          <w:shd w:val="clear" w:color="auto" w:fill="FFFFFF"/>
        </w:rPr>
        <w:t>保护好文物的顶盖、耳部、把部、口沿、颈部、腰部、腿部等细微之处，因为这些部位最容易发生伤残、断裂。</w:t>
      </w:r>
      <w:r>
        <w:rPr>
          <w:rFonts w:hint="eastAsia" w:ascii="Arial" w:hAnsi="Arial" w:cs="Arial"/>
          <w:color w:val="333333"/>
          <w:sz w:val="24"/>
          <w:szCs w:val="24"/>
          <w:highlight w:val="none"/>
          <w:shd w:val="clear" w:color="auto" w:fill="FFFFFF"/>
        </w:rPr>
        <w:t>每一件</w:t>
      </w:r>
      <w:r>
        <w:rPr>
          <w:rFonts w:ascii="Arial" w:hAnsi="Arial" w:cs="Arial"/>
          <w:color w:val="333333"/>
          <w:sz w:val="24"/>
          <w:szCs w:val="24"/>
          <w:highlight w:val="none"/>
          <w:shd w:val="clear" w:color="auto" w:fill="FFFFFF"/>
        </w:rPr>
        <w:t>文物囊匣都可以使千古流传的古代文物延年益寿并且可以使文物在保管和运输中起到防震、防尘、防风、防晒、防潮之功效。</w:t>
      </w:r>
    </w:p>
    <w:p>
      <w:pPr>
        <w:spacing w:line="360" w:lineRule="auto"/>
        <w:rPr>
          <w:rFonts w:ascii="宋体" w:hAnsi="宋体" w:cs="宋体"/>
          <w:b/>
          <w:sz w:val="24"/>
          <w:szCs w:val="24"/>
          <w:highlight w:val="none"/>
        </w:rPr>
      </w:pPr>
      <w:r>
        <w:rPr>
          <w:rFonts w:hint="eastAsia" w:ascii="宋体" w:hAnsi="宋体" w:cs="宋体"/>
          <w:b/>
          <w:sz w:val="24"/>
          <w:szCs w:val="24"/>
          <w:highlight w:val="none"/>
          <w:lang w:val="en-US" w:eastAsia="zh-CN"/>
        </w:rPr>
        <w:t>2、</w:t>
      </w:r>
      <w:r>
        <w:rPr>
          <w:rFonts w:hint="eastAsia" w:ascii="宋体" w:hAnsi="宋体" w:cs="宋体"/>
          <w:b/>
          <w:sz w:val="24"/>
          <w:szCs w:val="24"/>
          <w:highlight w:val="none"/>
        </w:rPr>
        <w:t>设计与工艺</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（一）盒体材料:</w:t>
      </w:r>
    </w:p>
    <w:p>
      <w:pPr>
        <w:keepNext w:val="0"/>
        <w:keepLines w:val="0"/>
        <w:pageBreakBefore w:val="0"/>
        <w:widowControl/>
        <w:kinsoku/>
        <w:wordWrap/>
        <w:overflowPunct/>
        <w:topLinePunct w:val="0"/>
        <w:autoSpaceDE/>
        <w:autoSpaceDN/>
        <w:bidi w:val="0"/>
        <w:adjustRightInd/>
        <w:snapToGrid/>
        <w:spacing w:line="400" w:lineRule="exact"/>
        <w:ind w:left="560" w:leftChars="200"/>
        <w:jc w:val="left"/>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1）文物耐久保存品质无酸纸板。</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2)无酸纸板材料组成及化学性能:</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①浆料，无酸纸浆料为棉浆、不含有回收浆</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②卡伯值&lt;&lt;5</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③铜离子(μg/g)&lt;6</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④铁离子(μg/g)&lt;150</w:t>
      </w:r>
    </w:p>
    <w:p>
      <w:pPr>
        <w:keepNext w:val="0"/>
        <w:keepLines w:val="0"/>
        <w:pageBreakBefore w:val="0"/>
        <w:widowControl/>
        <w:kinsoku/>
        <w:wordWrap/>
        <w:overflowPunct/>
        <w:topLinePunct w:val="0"/>
        <w:autoSpaceDE/>
        <w:autoSpaceDN/>
        <w:bidi w:val="0"/>
        <w:adjustRightInd/>
        <w:snapToGrid/>
        <w:spacing w:line="400" w:lineRule="exact"/>
        <w:ind w:left="560" w:leftChars="200"/>
        <w:jc w:val="left"/>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⑤pH值8.0~9.5</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⑥表层吸水性(g/m/60s)≤30</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⑦耐破强度(KPa)≥1000</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  ⑧边压强度(kN/m)≥4.5</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⑨粘合强度(N/m)≥400</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  </w:t>
      </w:r>
      <w:r>
        <w:rPr>
          <w:rFonts w:hint="eastAsia" w:ascii="宋体" w:hAnsi="宋体" w:eastAsia="宋体" w:cs="宋体"/>
          <w:kern w:val="0"/>
          <w:sz w:val="24"/>
          <w:szCs w:val="24"/>
          <w:highlight w:val="none"/>
          <w:lang w:val="en-US" w:eastAsia="zh-CN"/>
        </w:rPr>
        <w:fldChar w:fldCharType="begin"/>
      </w:r>
      <w:r>
        <w:rPr>
          <w:rFonts w:hint="eastAsia" w:ascii="宋体" w:hAnsi="宋体" w:eastAsia="宋体" w:cs="宋体"/>
          <w:kern w:val="0"/>
          <w:sz w:val="24"/>
          <w:szCs w:val="24"/>
          <w:highlight w:val="none"/>
          <w:lang w:val="en-US" w:eastAsia="zh-CN"/>
        </w:rPr>
        <w:instrText xml:space="preserve"> EQ \o\ac(</w:instrText>
      </w:r>
      <w:r>
        <w:rPr>
          <w:rFonts w:hint="eastAsia" w:ascii="宋体" w:hAnsi="宋体" w:eastAsia="宋体" w:cs="宋体"/>
          <w:kern w:val="0"/>
          <w:position w:val="-4"/>
          <w:sz w:val="36"/>
          <w:szCs w:val="24"/>
          <w:highlight w:val="none"/>
          <w:lang w:val="en-US" w:eastAsia="zh-CN"/>
        </w:rPr>
        <w:instrText xml:space="preserve">○</w:instrText>
      </w:r>
      <w:r>
        <w:rPr>
          <w:rFonts w:hint="eastAsia" w:ascii="宋体" w:hAnsi="宋体" w:eastAsia="宋体" w:cs="宋体"/>
          <w:kern w:val="0"/>
          <w:sz w:val="24"/>
          <w:szCs w:val="24"/>
          <w:highlight w:val="none"/>
          <w:lang w:val="en-US" w:eastAsia="zh-CN"/>
        </w:rPr>
        <w:instrText xml:space="preserve">,10)</w:instrText>
      </w:r>
      <w:r>
        <w:rPr>
          <w:rFonts w:hint="eastAsia" w:ascii="宋体" w:hAnsi="宋体" w:eastAsia="宋体" w:cs="宋体"/>
          <w:kern w:val="0"/>
          <w:sz w:val="24"/>
          <w:szCs w:val="24"/>
          <w:highlight w:val="none"/>
          <w:lang w:val="en-US" w:eastAsia="zh-CN"/>
        </w:rPr>
        <w:fldChar w:fldCharType="end"/>
      </w:r>
      <w:r>
        <w:rPr>
          <w:rFonts w:hint="eastAsia" w:ascii="宋体" w:hAnsi="宋体" w:eastAsia="宋体" w:cs="宋体"/>
          <w:kern w:val="0"/>
          <w:sz w:val="24"/>
          <w:szCs w:val="24"/>
          <w:highlight w:val="none"/>
        </w:rPr>
        <w:t>颜色稳定性无颜色转移，不含荧光增白剂</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3)要求板材表面具有防潮防尘性</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  ①防潮性(%)&lt;3.3</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  ②防尘性(个/m)&lt;0.1</w:t>
      </w:r>
    </w:p>
    <w:p>
      <w:pPr>
        <w:keepNext w:val="0"/>
        <w:keepLines w:val="0"/>
        <w:pageBreakBefore w:val="0"/>
        <w:widowControl/>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③碱性缓冲&gt;3%</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(二)、配件、锁扣、扣手</w:t>
      </w:r>
    </w:p>
    <w:p>
      <w:pPr>
        <w:keepNext w:val="0"/>
        <w:keepLines w:val="0"/>
        <w:pageBreakBefore w:val="0"/>
        <w:widowControl/>
        <w:kinsoku/>
        <w:wordWrap/>
        <w:overflowPunct/>
        <w:topLinePunct w:val="0"/>
        <w:autoSpaceDE/>
        <w:autoSpaceDN/>
        <w:bidi w:val="0"/>
        <w:adjustRightInd/>
        <w:snapToGrid/>
        <w:spacing w:line="400" w:lineRule="exact"/>
        <w:ind w:left="220" w:hanging="240" w:hanging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耐久保存品质无酸囊匣配件包括：牛角锁扣/金属锁扣、扣手等，材料是ABS/金属，且不含塑化剂、苯。</w:t>
      </w:r>
    </w:p>
    <w:p>
      <w:pPr>
        <w:keepNext w:val="0"/>
        <w:keepLines w:val="0"/>
        <w:pageBreakBefore w:val="0"/>
        <w:widowControl/>
        <w:kinsoku/>
        <w:wordWrap/>
        <w:overflowPunct/>
        <w:topLinePunct w:val="0"/>
        <w:autoSpaceDE/>
        <w:autoSpaceDN/>
        <w:bidi w:val="0"/>
        <w:adjustRightInd/>
        <w:snapToGrid/>
        <w:spacing w:line="400" w:lineRule="exact"/>
        <w:ind w:left="22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①材质: 100% ABS材料/金属</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②塑化剂含量&lt;0.05me/kg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③笨类含量&lt;0.01mg/m</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(三)、胶粘剂:液体无酸白乳胶、固体无酸热熔胶</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制作耐久品质无酸囊匣的粘合剂包括液体无酸白乳胶和固体热熔胶两种，为了保证耐久保存品质无酸囊匣的纯净性，要求采用无酸胶粘剂，要具有永久的粘合性，不老化，不脱胶。胶粘剂中不能含有塑化剂、硫化物、铜离子、铁离子等物质。不引起长霉、发黄、变色、分层等。其对应的技术要求如下:</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210" w:leftChars="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1、</w:t>
      </w:r>
      <w:r>
        <w:rPr>
          <w:rFonts w:hint="eastAsia" w:ascii="宋体" w:hAnsi="宋体" w:eastAsia="宋体" w:cs="宋体"/>
          <w:kern w:val="0"/>
          <w:sz w:val="24"/>
          <w:szCs w:val="24"/>
          <w:highlight w:val="none"/>
        </w:rPr>
        <w:t>无酸白乳胶技术要求(液体)</w:t>
      </w:r>
    </w:p>
    <w:p>
      <w:pPr>
        <w:keepNext w:val="0"/>
        <w:keepLines w:val="0"/>
        <w:pageBreakBefore w:val="0"/>
        <w:widowControl/>
        <w:kinsoku/>
        <w:wordWrap/>
        <w:overflowPunct/>
        <w:topLinePunct w:val="0"/>
        <w:autoSpaceDE/>
        <w:autoSpaceDN/>
        <w:bidi w:val="0"/>
        <w:adjustRightInd/>
        <w:snapToGrid/>
        <w:spacing w:line="400" w:lineRule="exact"/>
        <w:ind w:left="21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①塑化剂含量 &lt; 0. 05mg/kg</w:t>
      </w:r>
    </w:p>
    <w:p>
      <w:pPr>
        <w:keepNext w:val="0"/>
        <w:keepLines w:val="0"/>
        <w:pageBreakBefore w:val="0"/>
        <w:widowControl/>
        <w:kinsoku/>
        <w:wordWrap/>
        <w:overflowPunct/>
        <w:topLinePunct w:val="0"/>
        <w:autoSpaceDE/>
        <w:autoSpaceDN/>
        <w:bidi w:val="0"/>
        <w:adjustRightInd/>
        <w:snapToGrid/>
        <w:spacing w:line="400" w:lineRule="exact"/>
        <w:ind w:left="21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②硫化物含量&lt;140mg/kg</w:t>
      </w:r>
    </w:p>
    <w:p>
      <w:pPr>
        <w:keepNext w:val="0"/>
        <w:keepLines w:val="0"/>
        <w:pageBreakBefore w:val="0"/>
        <w:widowControl/>
        <w:kinsoku/>
        <w:wordWrap/>
        <w:overflowPunct/>
        <w:topLinePunct w:val="0"/>
        <w:autoSpaceDE/>
        <w:autoSpaceDN/>
        <w:bidi w:val="0"/>
        <w:adjustRightInd/>
        <w:snapToGrid/>
        <w:spacing w:line="400" w:lineRule="exact"/>
        <w:ind w:left="21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③PH值: 5.9~7.5</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④铁离子含量&lt; 30mg/kg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⑤铜离子含量&lt; 15 mg/kg</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left="210" w:leftChars="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无酸热熔胶技术要求(固体)</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①塑化剂含量&lt; 0. 05mg/kg</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②硫化物含量&lt; 240mg/hkg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③PH值6.5~7.5</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④铁离子含量&lt; 30mg/kg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⑤铜离子含量&lt; 4mg/kg</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(四)、内囊材料：无酸绵纸、内村面料、PE无酸泡棉、EPE珍珠棉、绸缎、仿丝棉。</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制作内囊的材料要求具有良好的防震、缓冲作用，内须采用质地柔软、富有弹性、不易老化、变形，且无污染、不排放有害介质的适用材料作为盒内填充与缓冲材料，如优质EPE珍珠棉、PE泡棉、绸缎面料、无酸绵纸、仿丝棉等，不得使用棉花。</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1.无酸泡棉技术要求</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①苯类物质含量&lt; 0.01mg/㎡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②甲醛&lt;0.05mg/kg</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③醚类物质含量&lt;10mg/kg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④卤素含量&lt;10mg/kg</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⑤重金属含量(铅、镉、汞) &lt;10mg/kg</w:t>
      </w:r>
    </w:p>
    <w:p>
      <w:pPr>
        <w:keepNext w:val="0"/>
        <w:keepLines w:val="0"/>
        <w:pageBreakBefore w:val="0"/>
        <w:widowControl/>
        <w:kinsoku/>
        <w:wordWrap/>
        <w:overflowPunct/>
        <w:topLinePunct w:val="0"/>
        <w:autoSpaceDE/>
        <w:autoSpaceDN/>
        <w:bidi w:val="0"/>
        <w:adjustRightInd/>
        <w:snapToGrid/>
        <w:spacing w:line="400" w:lineRule="exact"/>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  ⑥厚度≥10毫米 </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⑦密度24~27kg/m³</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⑧压缩强度0.15~-0.3/MPa</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2．内村面料：绸缎面料(国产)</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①PH值6.5~7.5;</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②甲醛含量&lt;20mg/kg</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3. 无酸棉纸</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①卡伯值&lt;5</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②PH值:8.0~9.5</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③单面施釉，表面光滑，质感绵软，可直接接触文物本体。</w:t>
      </w:r>
    </w:p>
    <w:p>
      <w:pPr>
        <w:keepNext w:val="0"/>
        <w:keepLines w:val="0"/>
        <w:pageBreakBefore w:val="0"/>
        <w:widowControl/>
        <w:kinsoku/>
        <w:wordWrap/>
        <w:overflowPunct/>
        <w:topLinePunct w:val="0"/>
        <w:autoSpaceDE/>
        <w:autoSpaceDN/>
        <w:bidi w:val="0"/>
        <w:adjustRightInd/>
        <w:snapToGrid/>
        <w:spacing w:line="400" w:lineRule="exact"/>
        <w:ind w:left="240" w:hanging="240" w:hanging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（五）、囊匣强度：承载力检测、压力检测、盒体跌落检测、匣内甲醛含量检测</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①耐久保存品质无酸囊匣的承载力&gt;2500N(压载速度12.5mm/min)</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②耐久保存品质无酸囊匣的压力承受力&gt;5000N(环境23°，50%混度)</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③耐久保存品质无酸囊匣跌落须经过试验检测</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④盒内甲醛含量=0</w:t>
      </w:r>
    </w:p>
    <w:p>
      <w:pPr>
        <w:keepNext w:val="0"/>
        <w:keepLines w:val="0"/>
        <w:pageBreakBefore w:val="0"/>
        <w:widowControl/>
        <w:kinsoku/>
        <w:wordWrap/>
        <w:overflowPunct/>
        <w:topLinePunct w:val="0"/>
        <w:autoSpaceDE/>
        <w:autoSpaceDN/>
        <w:bidi w:val="0"/>
        <w:adjustRightInd/>
        <w:snapToGrid/>
        <w:spacing w:line="400" w:lineRule="exact"/>
        <w:ind w:left="240" w:hanging="240" w:hangingChars="100"/>
        <w:jc w:val="left"/>
        <w:textAlignment w:val="auto"/>
        <w:outlineLvl w:val="9"/>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（六）、外观要求:</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①盒体表面平整光滑，具有防</w:t>
      </w:r>
      <w:r>
        <w:rPr>
          <w:rFonts w:hint="eastAsia" w:ascii="宋体" w:hAnsi="宋体" w:eastAsia="宋体" w:cs="宋体"/>
          <w:kern w:val="0"/>
          <w:sz w:val="24"/>
          <w:szCs w:val="24"/>
          <w:highlight w:val="none"/>
          <w:lang w:eastAsia="zh-CN"/>
        </w:rPr>
        <w:t>潮</w:t>
      </w:r>
      <w:r>
        <w:rPr>
          <w:rFonts w:hint="eastAsia" w:ascii="宋体" w:hAnsi="宋体" w:eastAsia="宋体" w:cs="宋体"/>
          <w:kern w:val="0"/>
          <w:sz w:val="24"/>
          <w:szCs w:val="24"/>
          <w:highlight w:val="none"/>
        </w:rPr>
        <w:t>、防尘的功能。</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②板材厚度达到设计要求</w:t>
      </w:r>
      <w:r>
        <w:rPr>
          <w:rFonts w:hint="eastAsia" w:ascii="宋体" w:hAnsi="宋体" w:eastAsia="宋体" w:cs="宋体"/>
          <w:kern w:val="0"/>
          <w:sz w:val="24"/>
          <w:szCs w:val="24"/>
          <w:highlight w:val="none"/>
          <w:lang w:eastAsia="zh-CN"/>
        </w:rPr>
        <w:t>。</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③盒体的边楞规矩整齐，折叠楞线清晰，相邻面之间为90°，顶面对角线之差不得大于5mm。</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④匣体饱满牢固，表面光洁、无污点、无突起物、刺状物、无毛边外露。</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⑤30cm以上的囊匣需配置包角及扣手。</w:t>
      </w:r>
    </w:p>
    <w:p>
      <w:pPr>
        <w:keepNext w:val="0"/>
        <w:keepLines w:val="0"/>
        <w:pageBreakBefore w:val="0"/>
        <w:widowControl/>
        <w:kinsoku/>
        <w:wordWrap/>
        <w:overflowPunct/>
        <w:topLinePunct w:val="0"/>
        <w:autoSpaceDE/>
        <w:autoSpaceDN/>
        <w:bidi w:val="0"/>
        <w:adjustRightInd/>
        <w:snapToGrid/>
        <w:spacing w:line="400" w:lineRule="exact"/>
        <w:ind w:left="222"/>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⑥天地盖式囊匣需要配置子牙口，子牙口宽度&gt;2mm</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⑦内囊采用EPE或PE泡棉作为六面缓冲材料，外包覆绸缎面料。</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⑧多宝格式囊匣内部要有分格分层结构。</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⑨标签标识：标签必须是信息化无酸标签，信息说明准确；囊匣外部要有文物信息框，用于放置信息化无酸标签。</w:t>
      </w:r>
    </w:p>
    <w:p>
      <w:pPr>
        <w:keepNext w:val="0"/>
        <w:keepLines w:val="0"/>
        <w:pageBreakBefore w:val="0"/>
        <w:widowControl/>
        <w:kinsoku/>
        <w:wordWrap/>
        <w:overflowPunct/>
        <w:topLinePunct w:val="0"/>
        <w:autoSpaceDE/>
        <w:autoSpaceDN/>
        <w:bidi w:val="0"/>
        <w:adjustRightInd/>
        <w:snapToGrid/>
        <w:spacing w:line="400" w:lineRule="exact"/>
        <w:ind w:left="240" w:hanging="240" w:hanging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(七)、结构要求:</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①盒体结构可采用内外盒双层结构，内盒可根据存放文物的实际需求进行分隔分层设计。</w:t>
      </w:r>
      <w:r>
        <w:rPr>
          <w:rFonts w:hint="eastAsia" w:ascii="宋体" w:hAnsi="宋体" w:eastAsia="宋体" w:cs="宋体"/>
          <w:kern w:val="0"/>
          <w:sz w:val="24"/>
          <w:szCs w:val="24"/>
          <w:highlight w:val="none"/>
        </w:rPr>
        <w:br w:type="textWrapping"/>
      </w:r>
      <w:r>
        <w:rPr>
          <w:rFonts w:hint="eastAsia" w:ascii="宋体" w:hAnsi="宋体" w:eastAsia="宋体" w:cs="宋体"/>
          <w:kern w:val="0"/>
          <w:sz w:val="24"/>
          <w:szCs w:val="24"/>
          <w:highlight w:val="none"/>
        </w:rPr>
        <w:t>②盒盖采用子母口的结构，保证囊匣良好的密封性。  </w:t>
      </w:r>
    </w:p>
    <w:p>
      <w:pPr>
        <w:keepNext w:val="0"/>
        <w:keepLines w:val="0"/>
        <w:pageBreakBefore w:val="0"/>
        <w:widowControl/>
        <w:kinsoku/>
        <w:wordWrap/>
        <w:overflowPunct/>
        <w:topLinePunct w:val="0"/>
        <w:autoSpaceDE/>
        <w:autoSpaceDN/>
        <w:bidi w:val="0"/>
        <w:adjustRightInd/>
        <w:snapToGrid/>
        <w:spacing w:line="400" w:lineRule="exact"/>
        <w:ind w:firstLine="240" w:firstLineChars="100"/>
        <w:jc w:val="left"/>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③摇盖式囊匣盒盖开合角度范围由囊匣专用折合控制。开合角度&gt;90°，往复10次，面纸、里纸无裂缝。</w:t>
      </w:r>
    </w:p>
    <w:p>
      <w:pPr>
        <w:keepNext w:val="0"/>
        <w:keepLines w:val="0"/>
        <w:pageBreakBefore w:val="0"/>
        <w:kinsoku/>
        <w:wordWrap/>
        <w:overflowPunct/>
        <w:topLinePunct w:val="0"/>
        <w:autoSpaceDE/>
        <w:autoSpaceDN/>
        <w:bidi w:val="0"/>
        <w:adjustRightInd/>
        <w:snapToGrid/>
        <w:spacing w:line="400" w:lineRule="exact"/>
        <w:ind w:firstLine="240" w:firstLineChars="100"/>
        <w:textAlignment w:val="auto"/>
        <w:outlineLvl w:val="9"/>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④锁固方式:</w:t>
      </w:r>
    </w:p>
    <w:p>
      <w:pPr>
        <w:keepNext w:val="0"/>
        <w:keepLines w:val="0"/>
        <w:pageBreakBefore w:val="0"/>
        <w:kinsoku/>
        <w:wordWrap/>
        <w:overflowPunct/>
        <w:topLinePunct w:val="0"/>
        <w:autoSpaceDE/>
        <w:autoSpaceDN/>
        <w:bidi w:val="0"/>
        <w:adjustRightInd/>
        <w:snapToGrid/>
        <w:spacing w:line="400" w:lineRule="exact"/>
        <w:ind w:left="220" w:hanging="240" w:hangingChars="100"/>
        <w:textAlignment w:val="auto"/>
        <w:outlineLvl w:val="9"/>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 xml:space="preserve">  蛤壳式囊匣采用锁扣式固定，专用囊匣锁扣，锁扣牢固，无滑动，锁扣的安装必须是盒材开孔穿入后连接锁固。</w:t>
      </w:r>
    </w:p>
    <w:p>
      <w:pPr>
        <w:keepNext w:val="0"/>
        <w:keepLines w:val="0"/>
        <w:pageBreakBefore w:val="0"/>
        <w:kinsoku/>
        <w:wordWrap/>
        <w:overflowPunct/>
        <w:topLinePunct w:val="0"/>
        <w:autoSpaceDE/>
        <w:autoSpaceDN/>
        <w:bidi w:val="0"/>
        <w:adjustRightInd/>
        <w:snapToGrid/>
        <w:spacing w:line="400" w:lineRule="exact"/>
        <w:ind w:firstLine="240" w:firstLineChars="100"/>
        <w:textAlignment w:val="auto"/>
        <w:outlineLvl w:val="9"/>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 xml:space="preserve"> ⑤包角：耐久保存品质无酸囊匣的外角须配置100% ABS材质的囊匣专用包角，以增强囊匣强度。</w:t>
      </w:r>
    </w:p>
    <w:p>
      <w:pPr>
        <w:pStyle w:val="5"/>
        <w:spacing w:before="0" w:after="0" w:line="360" w:lineRule="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九、付款方式</w:t>
      </w:r>
    </w:p>
    <w:p>
      <w:pPr>
        <w:spacing w:line="360" w:lineRule="auto"/>
        <w:ind w:firstLine="360" w:firstLineChars="150"/>
        <w:rPr>
          <w:rFonts w:hint="eastAsia" w:ascii="宋体" w:hAnsi="宋体" w:eastAsia="宋体" w:cs="宋体"/>
          <w:color w:val="333333"/>
          <w:sz w:val="24"/>
          <w:szCs w:val="24"/>
          <w:highlight w:val="none"/>
          <w:shd w:val="clear" w:color="auto" w:fill="FFFFFF"/>
          <w:lang w:val="en-US" w:eastAsia="zh-CN"/>
        </w:rPr>
      </w:pPr>
      <w:r>
        <w:rPr>
          <w:rFonts w:hint="eastAsia" w:ascii="宋体" w:hAnsi="宋体" w:eastAsia="宋体" w:cs="宋体"/>
          <w:color w:val="333333"/>
          <w:sz w:val="24"/>
          <w:szCs w:val="24"/>
          <w:highlight w:val="none"/>
          <w:shd w:val="clear" w:color="auto" w:fill="FFFFFF"/>
        </w:rPr>
        <w:t>  合同签订后支付合同总价的</w:t>
      </w:r>
      <w:r>
        <w:rPr>
          <w:rFonts w:hint="eastAsia" w:ascii="宋体" w:hAnsi="宋体" w:eastAsia="宋体" w:cs="宋体"/>
          <w:color w:val="333333"/>
          <w:sz w:val="24"/>
          <w:szCs w:val="24"/>
          <w:highlight w:val="none"/>
          <w:shd w:val="clear" w:color="auto" w:fill="FFFFFF"/>
          <w:lang w:val="en-US" w:eastAsia="zh-CN"/>
        </w:rPr>
        <w:t>5</w:t>
      </w:r>
      <w:r>
        <w:rPr>
          <w:rFonts w:hint="eastAsia" w:ascii="宋体" w:hAnsi="宋体" w:eastAsia="宋体" w:cs="宋体"/>
          <w:color w:val="333333"/>
          <w:sz w:val="24"/>
          <w:szCs w:val="24"/>
          <w:highlight w:val="none"/>
          <w:shd w:val="clear" w:color="auto" w:fill="FFFFFF"/>
        </w:rPr>
        <w:t>0%，所有设备安装调试完毕，整体工程完成安装并验收合格后支合同总价</w:t>
      </w:r>
      <w:r>
        <w:rPr>
          <w:rFonts w:hint="eastAsia" w:ascii="宋体" w:hAnsi="宋体" w:eastAsia="宋体" w:cs="宋体"/>
          <w:color w:val="333333"/>
          <w:sz w:val="24"/>
          <w:szCs w:val="24"/>
          <w:highlight w:val="none"/>
          <w:shd w:val="clear" w:color="auto" w:fill="FFFFFF"/>
          <w:lang w:val="en-US" w:eastAsia="zh-CN"/>
        </w:rPr>
        <w:t>50</w:t>
      </w:r>
      <w:r>
        <w:rPr>
          <w:rFonts w:hint="eastAsia" w:ascii="宋体" w:hAnsi="宋体" w:eastAsia="宋体" w:cs="宋体"/>
          <w:color w:val="333333"/>
          <w:sz w:val="24"/>
          <w:szCs w:val="24"/>
          <w:highlight w:val="none"/>
          <w:shd w:val="clear" w:color="auto" w:fill="FFFFFF"/>
        </w:rPr>
        <w:t>%</w:t>
      </w:r>
      <w:r>
        <w:rPr>
          <w:rFonts w:hint="eastAsia" w:ascii="宋体" w:hAnsi="宋体" w:eastAsia="宋体" w:cs="宋体"/>
          <w:color w:val="333333"/>
          <w:sz w:val="24"/>
          <w:szCs w:val="24"/>
          <w:highlight w:val="none"/>
          <w:shd w:val="clear" w:color="auto" w:fill="FFFFFF"/>
          <w:lang w:val="en-US" w:eastAsia="zh-CN"/>
        </w:rPr>
        <w:t>。</w:t>
      </w:r>
    </w:p>
    <w:p>
      <w:pPr>
        <w:pStyle w:val="5"/>
        <w:spacing w:before="0" w:after="0" w:line="360" w:lineRule="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十、项目供货期及质保期</w:t>
      </w:r>
    </w:p>
    <w:p>
      <w:pPr>
        <w:spacing w:line="360" w:lineRule="auto"/>
        <w:ind w:firstLine="360" w:firstLineChars="150"/>
        <w:rPr>
          <w:rFonts w:hint="eastAsia" w:ascii="宋体" w:hAnsi="宋体" w:eastAsia="宋体" w:cs="宋体"/>
          <w:color w:val="333333"/>
          <w:sz w:val="24"/>
          <w:szCs w:val="24"/>
          <w:highlight w:val="none"/>
          <w:shd w:val="clear" w:color="auto" w:fill="FFFFFF"/>
        </w:rPr>
      </w:pPr>
      <w:r>
        <w:rPr>
          <w:rFonts w:hint="eastAsia" w:ascii="宋体" w:hAnsi="宋体" w:eastAsia="宋体" w:cs="宋体"/>
          <w:color w:val="333333"/>
          <w:sz w:val="24"/>
          <w:szCs w:val="24"/>
          <w:highlight w:val="none"/>
          <w:shd w:val="clear" w:color="auto" w:fill="FFFFFF"/>
        </w:rPr>
        <w:t>1、供货地点：</w:t>
      </w:r>
      <w:r>
        <w:rPr>
          <w:rFonts w:hint="eastAsia" w:ascii="宋体" w:hAnsi="宋体" w:eastAsia="宋体" w:cs="宋体"/>
          <w:color w:val="333333"/>
          <w:sz w:val="24"/>
          <w:szCs w:val="24"/>
          <w:highlight w:val="none"/>
          <w:shd w:val="clear" w:color="auto" w:fill="FFFFFF"/>
          <w:lang w:val="en-US" w:eastAsia="zh-CN"/>
        </w:rPr>
        <w:t>重庆市文物遗产研究院</w:t>
      </w:r>
      <w:r>
        <w:rPr>
          <w:rFonts w:hint="eastAsia" w:ascii="宋体" w:hAnsi="宋体" w:eastAsia="宋体" w:cs="宋体"/>
          <w:color w:val="333333"/>
          <w:sz w:val="24"/>
          <w:szCs w:val="24"/>
          <w:highlight w:val="none"/>
          <w:shd w:val="clear" w:color="auto" w:fill="FFFFFF"/>
        </w:rPr>
        <w:t>或采购人指定的地点。</w:t>
      </w:r>
    </w:p>
    <w:p>
      <w:pPr>
        <w:spacing w:line="360" w:lineRule="auto"/>
        <w:ind w:firstLine="360" w:firstLineChars="150"/>
        <w:rPr>
          <w:rFonts w:hint="eastAsia" w:ascii="宋体" w:hAnsi="宋体" w:eastAsia="宋体" w:cs="宋体"/>
          <w:color w:val="333333"/>
          <w:sz w:val="24"/>
          <w:szCs w:val="24"/>
          <w:highlight w:val="none"/>
          <w:shd w:val="clear" w:color="auto" w:fill="FFFFFF"/>
          <w:lang w:eastAsia="zh-CN"/>
        </w:rPr>
      </w:pPr>
      <w:r>
        <w:rPr>
          <w:rFonts w:hint="eastAsia" w:ascii="宋体" w:hAnsi="宋体" w:eastAsia="宋体" w:cs="宋体"/>
          <w:color w:val="333333"/>
          <w:sz w:val="24"/>
          <w:szCs w:val="24"/>
          <w:highlight w:val="none"/>
          <w:shd w:val="clear" w:color="auto" w:fill="FFFFFF"/>
        </w:rPr>
        <w:t>2、合同签订后</w:t>
      </w:r>
      <w:r>
        <w:rPr>
          <w:rFonts w:hint="eastAsia" w:ascii="宋体" w:hAnsi="宋体" w:eastAsia="宋体" w:cs="宋体"/>
          <w:color w:val="333333"/>
          <w:sz w:val="24"/>
          <w:szCs w:val="24"/>
          <w:highlight w:val="none"/>
          <w:u w:val="single"/>
          <w:shd w:val="clear" w:color="auto" w:fill="FFFFFF"/>
        </w:rPr>
        <w:t xml:space="preserve">  </w:t>
      </w:r>
      <w:r>
        <w:rPr>
          <w:rFonts w:hint="eastAsia" w:ascii="宋体" w:hAnsi="宋体" w:eastAsia="宋体" w:cs="宋体"/>
          <w:color w:val="333333"/>
          <w:sz w:val="24"/>
          <w:szCs w:val="24"/>
          <w:highlight w:val="none"/>
          <w:u w:val="single"/>
          <w:shd w:val="clear" w:color="auto" w:fill="FFFFFF"/>
          <w:lang w:val="en-US" w:eastAsia="zh-CN"/>
        </w:rPr>
        <w:t>6</w:t>
      </w:r>
      <w:r>
        <w:rPr>
          <w:rFonts w:hint="eastAsia" w:ascii="宋体" w:hAnsi="宋体" w:eastAsia="宋体" w:cs="宋体"/>
          <w:color w:val="333333"/>
          <w:sz w:val="24"/>
          <w:szCs w:val="24"/>
          <w:highlight w:val="none"/>
          <w:u w:val="single"/>
          <w:shd w:val="clear" w:color="auto" w:fill="FFFFFF"/>
        </w:rPr>
        <w:t>0  </w:t>
      </w:r>
      <w:r>
        <w:rPr>
          <w:rFonts w:hint="eastAsia" w:ascii="宋体" w:hAnsi="宋体" w:eastAsia="宋体" w:cs="宋体"/>
          <w:color w:val="333333"/>
          <w:sz w:val="24"/>
          <w:szCs w:val="24"/>
          <w:highlight w:val="none"/>
          <w:shd w:val="clear" w:color="auto" w:fill="FFFFFF"/>
        </w:rPr>
        <w:t>天内交货，并负责</w:t>
      </w:r>
      <w:r>
        <w:rPr>
          <w:rFonts w:hint="eastAsia" w:ascii="宋体" w:hAnsi="宋体" w:eastAsia="宋体" w:cs="宋体"/>
          <w:color w:val="333333"/>
          <w:sz w:val="24"/>
          <w:szCs w:val="24"/>
          <w:highlight w:val="none"/>
          <w:shd w:val="clear" w:color="auto" w:fill="FFFFFF"/>
          <w:lang w:val="en-US" w:eastAsia="zh-CN"/>
        </w:rPr>
        <w:t>囊匣</w:t>
      </w:r>
      <w:r>
        <w:rPr>
          <w:rFonts w:hint="eastAsia" w:ascii="宋体" w:hAnsi="宋体" w:eastAsia="宋体" w:cs="宋体"/>
          <w:color w:val="333333"/>
          <w:sz w:val="24"/>
          <w:szCs w:val="24"/>
          <w:highlight w:val="none"/>
          <w:shd w:val="clear" w:color="auto" w:fill="FFFFFF"/>
        </w:rPr>
        <w:t>的安装调试并交付使用</w:t>
      </w:r>
      <w:r>
        <w:rPr>
          <w:rFonts w:hint="eastAsia" w:ascii="宋体" w:hAnsi="宋体" w:cs="宋体"/>
          <w:color w:val="333333"/>
          <w:sz w:val="24"/>
          <w:szCs w:val="24"/>
          <w:highlight w:val="none"/>
          <w:shd w:val="clear" w:color="auto" w:fill="FFFFFF"/>
          <w:lang w:eastAsia="zh-CN"/>
        </w:rPr>
        <w:t>。</w:t>
      </w:r>
    </w:p>
    <w:p>
      <w:pPr>
        <w:spacing w:line="360" w:lineRule="auto"/>
        <w:ind w:firstLine="360" w:firstLineChars="150"/>
        <w:rPr>
          <w:rFonts w:hint="eastAsia" w:ascii="宋体" w:hAnsi="宋体" w:eastAsia="宋体" w:cs="宋体"/>
          <w:color w:val="333333"/>
          <w:sz w:val="24"/>
          <w:szCs w:val="24"/>
          <w:highlight w:val="none"/>
          <w:shd w:val="clear" w:color="auto" w:fill="FFFFFF"/>
          <w:lang w:eastAsia="zh-CN"/>
        </w:rPr>
      </w:pPr>
      <w:r>
        <w:rPr>
          <w:rFonts w:hint="eastAsia" w:ascii="宋体" w:hAnsi="宋体" w:eastAsia="宋体" w:cs="宋体"/>
          <w:color w:val="333333"/>
          <w:sz w:val="24"/>
          <w:szCs w:val="24"/>
          <w:highlight w:val="none"/>
          <w:shd w:val="clear" w:color="auto" w:fill="FFFFFF"/>
        </w:rPr>
        <w:t>3、质保期2年</w:t>
      </w:r>
      <w:r>
        <w:rPr>
          <w:rFonts w:hint="eastAsia" w:ascii="宋体" w:hAnsi="宋体" w:cs="宋体"/>
          <w:color w:val="333333"/>
          <w:sz w:val="24"/>
          <w:szCs w:val="24"/>
          <w:highlight w:val="none"/>
          <w:shd w:val="clear" w:color="auto" w:fill="FFFFFF"/>
          <w:lang w:eastAsia="zh-CN"/>
        </w:rPr>
        <w:t>。</w:t>
      </w:r>
    </w:p>
    <w:p>
      <w:pPr>
        <w:pStyle w:val="5"/>
        <w:spacing w:before="0" w:after="0" w:line="360" w:lineRule="auto"/>
        <w:rPr>
          <w:rFonts w:hint="eastAsia" w:ascii="宋体" w:hAnsi="宋体"/>
          <w:color w:val="auto"/>
          <w:sz w:val="24"/>
          <w:szCs w:val="24"/>
          <w:highlight w:val="none"/>
          <w:lang w:val="en-US" w:eastAsia="zh-CN"/>
        </w:rPr>
      </w:pPr>
      <w:r>
        <w:rPr>
          <w:rFonts w:hint="eastAsia" w:ascii="宋体" w:hAnsi="宋体"/>
          <w:color w:val="auto"/>
          <w:sz w:val="24"/>
          <w:szCs w:val="24"/>
          <w:highlight w:val="none"/>
          <w:lang w:val="en-US" w:eastAsia="zh-CN"/>
        </w:rPr>
        <w:t>十一、评分标准</w:t>
      </w:r>
    </w:p>
    <w:p>
      <w:pPr>
        <w:pStyle w:val="13"/>
        <w:spacing w:line="420" w:lineRule="atLeast"/>
        <w:ind w:firstLine="453"/>
        <w:rPr>
          <w:rFonts w:hint="eastAsia" w:ascii="宋体" w:eastAsia="宋体"/>
          <w:sz w:val="24"/>
          <w:szCs w:val="24"/>
          <w:highlight w:val="none"/>
        </w:rPr>
      </w:pPr>
      <w:r>
        <w:rPr>
          <w:rFonts w:hint="eastAsia" w:ascii="宋体" w:eastAsia="宋体"/>
          <w:sz w:val="24"/>
          <w:szCs w:val="24"/>
          <w:highlight w:val="none"/>
        </w:rPr>
        <w:t>评分标准</w:t>
      </w:r>
    </w:p>
    <w:p>
      <w:pPr>
        <w:pStyle w:val="13"/>
        <w:spacing w:line="420" w:lineRule="atLeast"/>
        <w:ind w:firstLine="453"/>
        <w:rPr>
          <w:rFonts w:hint="eastAsia" w:ascii="宋体" w:eastAsia="宋体"/>
          <w:sz w:val="24"/>
          <w:szCs w:val="24"/>
          <w:highlight w:val="none"/>
        </w:rPr>
      </w:pPr>
      <w:r>
        <w:rPr>
          <w:rFonts w:hint="eastAsia" w:ascii="宋体" w:eastAsia="宋体"/>
          <w:sz w:val="24"/>
          <w:szCs w:val="24"/>
          <w:highlight w:val="none"/>
        </w:rPr>
        <w:t>（1）价格部分（满分</w:t>
      </w:r>
      <w:r>
        <w:rPr>
          <w:rFonts w:hint="eastAsia" w:ascii="宋体" w:eastAsia="宋体"/>
          <w:sz w:val="24"/>
          <w:szCs w:val="24"/>
          <w:highlight w:val="none"/>
          <w:lang w:val="en-US" w:eastAsia="zh-CN"/>
        </w:rPr>
        <w:t>4</w:t>
      </w:r>
      <w:r>
        <w:rPr>
          <w:rFonts w:hint="eastAsia" w:ascii="宋体" w:eastAsia="宋体"/>
          <w:sz w:val="24"/>
          <w:szCs w:val="24"/>
          <w:highlight w:val="none"/>
        </w:rPr>
        <w:t>0分）</w:t>
      </w:r>
    </w:p>
    <w:p>
      <w:pPr>
        <w:pStyle w:val="13"/>
        <w:spacing w:line="420" w:lineRule="atLeast"/>
        <w:ind w:firstLine="453"/>
        <w:rPr>
          <w:rFonts w:hint="eastAsia" w:ascii="宋体" w:eastAsia="宋体"/>
          <w:sz w:val="24"/>
          <w:szCs w:val="24"/>
          <w:highlight w:val="none"/>
        </w:rPr>
      </w:pPr>
      <w:r>
        <w:rPr>
          <w:rFonts w:hint="eastAsia" w:ascii="宋体" w:eastAsia="宋体"/>
          <w:sz w:val="24"/>
          <w:szCs w:val="24"/>
          <w:highlight w:val="none"/>
        </w:rPr>
        <w:t>（2）商务部分（满分</w:t>
      </w:r>
      <w:r>
        <w:rPr>
          <w:rFonts w:hint="eastAsia" w:ascii="宋体" w:eastAsia="宋体"/>
          <w:sz w:val="24"/>
          <w:szCs w:val="24"/>
          <w:highlight w:val="none"/>
          <w:lang w:val="en-US" w:eastAsia="zh-CN"/>
        </w:rPr>
        <w:t>30</w:t>
      </w:r>
      <w:r>
        <w:rPr>
          <w:rFonts w:hint="eastAsia" w:ascii="宋体" w:eastAsia="宋体"/>
          <w:sz w:val="24"/>
          <w:szCs w:val="24"/>
          <w:highlight w:val="none"/>
        </w:rPr>
        <w:t>分）</w:t>
      </w:r>
    </w:p>
    <w:p>
      <w:pPr>
        <w:pStyle w:val="13"/>
        <w:spacing w:line="420" w:lineRule="atLeast"/>
        <w:ind w:firstLine="453"/>
        <w:rPr>
          <w:rFonts w:hint="eastAsia" w:ascii="宋体" w:hAnsi="宋体" w:cs="宋体"/>
          <w:b/>
          <w:bCs/>
          <w:color w:val="666666"/>
          <w:kern w:val="0"/>
          <w:sz w:val="24"/>
          <w:szCs w:val="24"/>
          <w:highlight w:val="none"/>
        </w:rPr>
      </w:pPr>
      <w:r>
        <w:rPr>
          <w:rFonts w:hint="eastAsia" w:ascii="宋体" w:eastAsia="宋体"/>
          <w:sz w:val="24"/>
          <w:szCs w:val="24"/>
          <w:highlight w:val="none"/>
        </w:rPr>
        <w:t>（3）技术部分（满分</w:t>
      </w:r>
      <w:r>
        <w:rPr>
          <w:rFonts w:hint="eastAsia" w:ascii="宋体" w:eastAsia="宋体"/>
          <w:sz w:val="24"/>
          <w:szCs w:val="24"/>
          <w:highlight w:val="none"/>
          <w:lang w:val="en-US" w:eastAsia="zh-CN"/>
        </w:rPr>
        <w:t>30</w:t>
      </w:r>
      <w:r>
        <w:rPr>
          <w:rFonts w:hint="eastAsia" w:ascii="宋体" w:eastAsia="宋体"/>
          <w:sz w:val="24"/>
          <w:szCs w:val="24"/>
          <w:highlight w:val="none"/>
        </w:rPr>
        <w:t>分）</w:t>
      </w:r>
    </w:p>
    <w:tbl>
      <w:tblPr>
        <w:tblStyle w:val="10"/>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824"/>
        <w:gridCol w:w="766"/>
        <w:gridCol w:w="5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03" w:type="dxa"/>
            <w:vAlign w:val="center"/>
          </w:tcPr>
          <w:p>
            <w:pPr>
              <w:adjustRightInd w:val="0"/>
              <w:snapToGrid w:val="0"/>
              <w:jc w:val="center"/>
              <w:rPr>
                <w:rFonts w:ascii="宋体" w:hAnsi="宋体"/>
                <w:sz w:val="24"/>
                <w:highlight w:val="none"/>
              </w:rPr>
            </w:pPr>
            <w:r>
              <w:rPr>
                <w:rFonts w:hint="eastAsia" w:ascii="宋体" w:hAnsi="宋体"/>
                <w:sz w:val="24"/>
                <w:highlight w:val="none"/>
              </w:rPr>
              <w:t>项目</w:t>
            </w:r>
          </w:p>
        </w:tc>
        <w:tc>
          <w:tcPr>
            <w:tcW w:w="824" w:type="dxa"/>
            <w:vAlign w:val="center"/>
          </w:tcPr>
          <w:p>
            <w:pPr>
              <w:adjustRightInd w:val="0"/>
              <w:snapToGrid w:val="0"/>
              <w:jc w:val="center"/>
              <w:rPr>
                <w:rFonts w:ascii="宋体" w:hAnsi="宋体"/>
                <w:sz w:val="24"/>
                <w:highlight w:val="none"/>
              </w:rPr>
            </w:pPr>
            <w:r>
              <w:rPr>
                <w:rFonts w:hint="eastAsia" w:ascii="宋体" w:hAnsi="宋体"/>
                <w:sz w:val="24"/>
                <w:highlight w:val="none"/>
              </w:rPr>
              <w:t>分项</w:t>
            </w:r>
          </w:p>
        </w:tc>
        <w:tc>
          <w:tcPr>
            <w:tcW w:w="766" w:type="dxa"/>
            <w:vAlign w:val="center"/>
          </w:tcPr>
          <w:p>
            <w:pPr>
              <w:adjustRightInd w:val="0"/>
              <w:snapToGrid w:val="0"/>
              <w:jc w:val="center"/>
              <w:rPr>
                <w:rFonts w:ascii="宋体" w:hAnsi="宋体"/>
                <w:sz w:val="24"/>
                <w:highlight w:val="none"/>
              </w:rPr>
            </w:pPr>
            <w:r>
              <w:rPr>
                <w:rFonts w:hint="eastAsia" w:ascii="宋体" w:hAnsi="宋体"/>
                <w:sz w:val="24"/>
                <w:highlight w:val="none"/>
              </w:rPr>
              <w:t>分值</w:t>
            </w:r>
          </w:p>
        </w:tc>
        <w:tc>
          <w:tcPr>
            <w:tcW w:w="5846" w:type="dxa"/>
            <w:vAlign w:val="center"/>
          </w:tcPr>
          <w:p>
            <w:pPr>
              <w:adjustRightInd w:val="0"/>
              <w:snapToGrid w:val="0"/>
              <w:jc w:val="center"/>
              <w:rPr>
                <w:rFonts w:hint="eastAsia" w:ascii="宋体" w:hAnsi="宋体" w:eastAsia="宋体"/>
                <w:sz w:val="24"/>
                <w:highlight w:val="none"/>
                <w:lang w:eastAsia="zh-CN"/>
              </w:rPr>
            </w:pPr>
            <w:r>
              <w:rPr>
                <w:rFonts w:hint="eastAsia" w:ascii="宋体" w:hAnsi="宋体"/>
                <w:sz w:val="24"/>
                <w:highlight w:val="none"/>
                <w:lang w:eastAsia="zh-CN"/>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1303" w:type="dxa"/>
            <w:vAlign w:val="center"/>
          </w:tcPr>
          <w:p>
            <w:pPr>
              <w:widowControl/>
              <w:jc w:val="center"/>
              <w:rPr>
                <w:rFonts w:hint="eastAsia" w:ascii="宋体" w:hAnsi="宋体" w:eastAsia="宋体"/>
                <w:sz w:val="24"/>
                <w:highlight w:val="none"/>
                <w:lang w:eastAsia="zh-CN"/>
              </w:rPr>
            </w:pPr>
            <w:r>
              <w:rPr>
                <w:rFonts w:hint="eastAsia" w:ascii="宋体" w:hAnsi="宋体"/>
                <w:sz w:val="24"/>
                <w:highlight w:val="none"/>
              </w:rPr>
              <w:t>价格</w:t>
            </w:r>
            <w:r>
              <w:rPr>
                <w:rFonts w:hint="eastAsia" w:ascii="宋体" w:hAnsi="宋体"/>
                <w:sz w:val="24"/>
                <w:highlight w:val="none"/>
                <w:lang w:eastAsia="zh-CN"/>
              </w:rPr>
              <w:t>部分</w:t>
            </w:r>
          </w:p>
        </w:tc>
        <w:tc>
          <w:tcPr>
            <w:tcW w:w="824" w:type="dxa"/>
            <w:vAlign w:val="center"/>
          </w:tcPr>
          <w:p>
            <w:pPr>
              <w:widowControl/>
              <w:rPr>
                <w:rFonts w:hint="eastAsia" w:ascii="宋体" w:hAnsi="宋体"/>
                <w:sz w:val="24"/>
                <w:highlight w:val="none"/>
              </w:rPr>
            </w:pPr>
            <w:r>
              <w:rPr>
                <w:rFonts w:hint="eastAsia" w:ascii="宋体" w:hAnsi="宋体"/>
                <w:sz w:val="24"/>
                <w:highlight w:val="none"/>
              </w:rPr>
              <w:t>报价得分</w:t>
            </w:r>
          </w:p>
        </w:tc>
        <w:tc>
          <w:tcPr>
            <w:tcW w:w="766" w:type="dxa"/>
            <w:vAlign w:val="center"/>
          </w:tcPr>
          <w:p>
            <w:pPr>
              <w:widowControl/>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0分</w:t>
            </w: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价格分统一采用合理低价优先法计算，即满足</w:t>
            </w:r>
            <w:r>
              <w:rPr>
                <w:rFonts w:hint="eastAsia" w:ascii="宋体" w:hAnsi="宋体"/>
                <w:sz w:val="24"/>
                <w:highlight w:val="none"/>
                <w:lang w:val="en-US" w:eastAsia="zh-CN"/>
              </w:rPr>
              <w:t>评审</w:t>
            </w:r>
            <w:r>
              <w:rPr>
                <w:rFonts w:hint="eastAsia" w:ascii="宋体" w:hAnsi="宋体"/>
                <w:sz w:val="24"/>
                <w:highlight w:val="none"/>
              </w:rPr>
              <w:t>文件要求且价格最低的报价为</w:t>
            </w:r>
            <w:r>
              <w:rPr>
                <w:rFonts w:hint="eastAsia" w:ascii="宋体" w:hAnsi="宋体"/>
                <w:sz w:val="24"/>
                <w:highlight w:val="none"/>
                <w:lang w:val="en-US" w:eastAsia="zh-CN"/>
              </w:rPr>
              <w:t>评审</w:t>
            </w:r>
            <w:r>
              <w:rPr>
                <w:rFonts w:hint="eastAsia" w:ascii="宋体" w:hAnsi="宋体"/>
                <w:sz w:val="24"/>
                <w:highlight w:val="none"/>
              </w:rPr>
              <w:t>基准价，其价格分为满分。其他</w:t>
            </w:r>
            <w:r>
              <w:rPr>
                <w:rFonts w:hint="eastAsia" w:ascii="宋体" w:hAnsi="宋体"/>
                <w:sz w:val="24"/>
                <w:highlight w:val="none"/>
                <w:lang w:val="en-US" w:eastAsia="zh-CN"/>
              </w:rPr>
              <w:t>供应商</w:t>
            </w:r>
            <w:r>
              <w:rPr>
                <w:rFonts w:hint="eastAsia" w:ascii="宋体" w:hAnsi="宋体"/>
                <w:sz w:val="24"/>
                <w:highlight w:val="none"/>
              </w:rPr>
              <w:t>的价格分统一按照下列公式计算：</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ascii="宋体" w:hAnsi="宋体"/>
                <w:sz w:val="24"/>
                <w:highlight w:val="none"/>
              </w:rPr>
              <w:t>报价得分=(评标基准价／报价)×</w:t>
            </w:r>
            <w:r>
              <w:rPr>
                <w:rFonts w:hint="eastAsia" w:ascii="宋体" w:hAnsi="宋体"/>
                <w:sz w:val="24"/>
                <w:highlight w:val="none"/>
                <w:lang w:val="en-US" w:eastAsia="zh-CN"/>
              </w:rPr>
              <w:t>0</w:t>
            </w:r>
            <w:r>
              <w:rPr>
                <w:rFonts w:hint="eastAsia" w:ascii="宋体" w:hAnsi="宋体"/>
                <w:sz w:val="24"/>
                <w:highlight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atLeast"/>
          <w:jc w:val="center"/>
        </w:trPr>
        <w:tc>
          <w:tcPr>
            <w:tcW w:w="1303" w:type="dxa"/>
            <w:vMerge w:val="restart"/>
            <w:vAlign w:val="center"/>
          </w:tcPr>
          <w:p>
            <w:pPr>
              <w:widowControl/>
              <w:jc w:val="center"/>
              <w:rPr>
                <w:rFonts w:hint="eastAsia" w:ascii="宋体" w:hAnsi="宋体" w:eastAsia="宋体"/>
                <w:sz w:val="24"/>
                <w:highlight w:val="none"/>
                <w:lang w:eastAsia="zh-CN"/>
              </w:rPr>
            </w:pPr>
            <w:r>
              <w:rPr>
                <w:rFonts w:hint="eastAsia" w:ascii="宋体" w:hAnsi="宋体"/>
                <w:sz w:val="24"/>
                <w:highlight w:val="none"/>
              </w:rPr>
              <w:t>商务</w:t>
            </w:r>
            <w:r>
              <w:rPr>
                <w:rFonts w:hint="eastAsia" w:ascii="宋体" w:hAnsi="宋体"/>
                <w:sz w:val="24"/>
                <w:highlight w:val="none"/>
                <w:lang w:eastAsia="zh-CN"/>
              </w:rPr>
              <w:t>部分</w:t>
            </w:r>
          </w:p>
        </w:tc>
        <w:tc>
          <w:tcPr>
            <w:tcW w:w="824" w:type="dxa"/>
            <w:vMerge w:val="restart"/>
            <w:vAlign w:val="center"/>
          </w:tcPr>
          <w:p>
            <w:pPr>
              <w:widowControl/>
              <w:rPr>
                <w:rFonts w:hint="eastAsia" w:ascii="宋体" w:hAnsi="宋体"/>
                <w:sz w:val="24"/>
                <w:highlight w:val="none"/>
              </w:rPr>
            </w:pPr>
            <w:r>
              <w:rPr>
                <w:rFonts w:hint="eastAsia" w:ascii="宋体" w:hAnsi="宋体"/>
                <w:sz w:val="24"/>
                <w:highlight w:val="none"/>
              </w:rPr>
              <w:t>综合实力</w:t>
            </w:r>
          </w:p>
        </w:tc>
        <w:tc>
          <w:tcPr>
            <w:tcW w:w="766" w:type="dxa"/>
            <w:vMerge w:val="restart"/>
            <w:vAlign w:val="center"/>
          </w:tcPr>
          <w:p>
            <w:pPr>
              <w:widowControl/>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分</w:t>
            </w: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体系认证：</w:t>
            </w:r>
            <w:r>
              <w:rPr>
                <w:rFonts w:hint="eastAsia" w:ascii="宋体" w:hAnsi="宋体" w:eastAsia="宋体" w:cs="Times New Roman"/>
                <w:sz w:val="24"/>
                <w:szCs w:val="22"/>
                <w:highlight w:val="none"/>
              </w:rPr>
              <w:t>（</w:t>
            </w:r>
            <w:r>
              <w:rPr>
                <w:rFonts w:hint="eastAsia" w:ascii="宋体" w:hAnsi="宋体" w:eastAsia="宋体" w:cs="Times New Roman"/>
                <w:sz w:val="24"/>
                <w:szCs w:val="22"/>
                <w:highlight w:val="none"/>
                <w:lang w:val="en-US" w:eastAsia="zh-CN"/>
              </w:rPr>
              <w:t>15</w:t>
            </w:r>
            <w:r>
              <w:rPr>
                <w:rFonts w:hint="eastAsia" w:ascii="宋体" w:hAnsi="宋体" w:eastAsia="宋体" w:cs="Times New Roman"/>
                <w:sz w:val="24"/>
                <w:szCs w:val="22"/>
                <w:highlight w:val="none"/>
              </w:rPr>
              <w:t>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rPr>
            </w:pPr>
            <w:r>
              <w:rPr>
                <w:rFonts w:hint="eastAsia" w:ascii="宋体" w:hAnsi="宋体" w:eastAsia="宋体" w:cs="Times New Roman"/>
                <w:sz w:val="24"/>
                <w:szCs w:val="22"/>
                <w:highlight w:val="none"/>
                <w:lang w:val="en-US" w:eastAsia="zh-CN"/>
              </w:rPr>
              <w:t>供应商</w:t>
            </w:r>
            <w:r>
              <w:rPr>
                <w:rFonts w:hint="eastAsia" w:ascii="宋体" w:hAnsi="宋体" w:eastAsia="宋体" w:cs="Times New Roman"/>
                <w:sz w:val="24"/>
                <w:szCs w:val="22"/>
                <w:highlight w:val="none"/>
              </w:rPr>
              <w:t>具有有效</w:t>
            </w:r>
            <w:r>
              <w:rPr>
                <w:rFonts w:hint="eastAsia" w:ascii="宋体" w:hAnsi="宋体" w:eastAsia="宋体" w:cs="Times New Roman"/>
                <w:sz w:val="24"/>
                <w:szCs w:val="22"/>
                <w:highlight w:val="none"/>
                <w:lang w:eastAsia="zh-CN"/>
              </w:rPr>
              <w:t>的ISO9001质量管理体系认证、ISO14001环境管理体系认证、OHSAS1800</w:t>
            </w:r>
            <w:r>
              <w:rPr>
                <w:rFonts w:hint="eastAsia" w:ascii="宋体" w:hAnsi="宋体" w:eastAsia="宋体" w:cs="Times New Roman"/>
                <w:sz w:val="24"/>
                <w:szCs w:val="22"/>
                <w:highlight w:val="none"/>
                <w:lang w:val="en-US" w:eastAsia="zh-CN"/>
              </w:rPr>
              <w:t>1</w:t>
            </w:r>
            <w:r>
              <w:rPr>
                <w:rFonts w:hint="eastAsia" w:ascii="宋体" w:hAnsi="宋体" w:eastAsia="宋体" w:cs="Times New Roman"/>
                <w:sz w:val="24"/>
                <w:szCs w:val="22"/>
                <w:highlight w:val="none"/>
                <w:lang w:eastAsia="zh-CN"/>
              </w:rPr>
              <w:t>职业健康安全管理体系认证，每提供一项得</w:t>
            </w:r>
            <w:r>
              <w:rPr>
                <w:rFonts w:hint="eastAsia" w:ascii="宋体" w:hAnsi="宋体" w:eastAsia="宋体" w:cs="Times New Roman"/>
                <w:sz w:val="24"/>
                <w:szCs w:val="22"/>
                <w:highlight w:val="none"/>
                <w:lang w:val="en-US" w:eastAsia="zh-CN"/>
              </w:rPr>
              <w:t>5</w:t>
            </w:r>
            <w:r>
              <w:rPr>
                <w:rFonts w:hint="eastAsia" w:ascii="宋体" w:hAnsi="宋体" w:eastAsia="宋体" w:cs="Times New Roman"/>
                <w:sz w:val="24"/>
                <w:szCs w:val="22"/>
                <w:highlight w:val="none"/>
                <w:lang w:eastAsia="zh-CN"/>
              </w:rPr>
              <w:t>分，满分</w:t>
            </w:r>
            <w:r>
              <w:rPr>
                <w:rFonts w:hint="eastAsia" w:ascii="宋体" w:hAnsi="宋体" w:eastAsia="宋体" w:cs="Times New Roman"/>
                <w:sz w:val="24"/>
                <w:szCs w:val="22"/>
                <w:highlight w:val="none"/>
                <w:lang w:val="en-US" w:eastAsia="zh-CN"/>
              </w:rPr>
              <w:t>15</w:t>
            </w:r>
            <w:r>
              <w:rPr>
                <w:rFonts w:hint="eastAsia" w:ascii="宋体" w:hAnsi="宋体" w:eastAsia="宋体" w:cs="Times New Roman"/>
                <w:sz w:val="24"/>
                <w:szCs w:val="22"/>
                <w:highlight w:val="none"/>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1303" w:type="dxa"/>
            <w:vMerge w:val="continue"/>
            <w:vAlign w:val="center"/>
          </w:tcPr>
          <w:p>
            <w:pPr>
              <w:widowControl/>
              <w:rPr>
                <w:rFonts w:hint="eastAsia" w:ascii="宋体" w:hAnsi="宋体"/>
                <w:sz w:val="24"/>
                <w:highlight w:val="none"/>
              </w:rPr>
            </w:pPr>
          </w:p>
        </w:tc>
        <w:tc>
          <w:tcPr>
            <w:tcW w:w="824" w:type="dxa"/>
            <w:vMerge w:val="continue"/>
            <w:vAlign w:val="center"/>
          </w:tcPr>
          <w:p>
            <w:pPr>
              <w:widowControl/>
              <w:rPr>
                <w:rFonts w:hint="eastAsia" w:ascii="宋体" w:hAnsi="宋体"/>
                <w:sz w:val="24"/>
                <w:highlight w:val="none"/>
              </w:rPr>
            </w:pPr>
          </w:p>
        </w:tc>
        <w:tc>
          <w:tcPr>
            <w:tcW w:w="766" w:type="dxa"/>
            <w:vMerge w:val="continue"/>
            <w:vAlign w:val="center"/>
          </w:tcPr>
          <w:p>
            <w:pPr>
              <w:widowControl/>
              <w:rPr>
                <w:rFonts w:hint="eastAsia" w:ascii="宋体" w:hAnsi="宋体"/>
                <w:sz w:val="24"/>
                <w:highlight w:val="none"/>
              </w:rPr>
            </w:pP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3、检测报告（5分）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供应商提供省级或省级以上质量检测机构出具的无酸纸囊匣检验报告的得5分。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303" w:type="dxa"/>
            <w:vMerge w:val="continue"/>
            <w:vAlign w:val="center"/>
          </w:tcPr>
          <w:p>
            <w:pPr>
              <w:widowControl/>
              <w:rPr>
                <w:rFonts w:hint="eastAsia" w:ascii="宋体" w:hAnsi="宋体"/>
                <w:sz w:val="24"/>
                <w:highlight w:val="none"/>
              </w:rPr>
            </w:pPr>
          </w:p>
        </w:tc>
        <w:tc>
          <w:tcPr>
            <w:tcW w:w="824" w:type="dxa"/>
            <w:vAlign w:val="center"/>
          </w:tcPr>
          <w:p>
            <w:pPr>
              <w:widowControl/>
              <w:rPr>
                <w:rFonts w:hint="eastAsia" w:ascii="宋体" w:hAnsi="宋体"/>
                <w:sz w:val="24"/>
                <w:highlight w:val="none"/>
              </w:rPr>
            </w:pPr>
            <w:r>
              <w:rPr>
                <w:rFonts w:hint="eastAsia" w:ascii="宋体" w:hAnsi="宋体"/>
                <w:sz w:val="24"/>
                <w:highlight w:val="none"/>
                <w:lang w:eastAsia="zh-CN"/>
              </w:rPr>
              <w:t>类似</w:t>
            </w:r>
            <w:r>
              <w:rPr>
                <w:rFonts w:hint="eastAsia" w:ascii="宋体" w:hAnsi="宋体"/>
                <w:sz w:val="24"/>
                <w:highlight w:val="none"/>
              </w:rPr>
              <w:t>业绩</w:t>
            </w:r>
          </w:p>
        </w:tc>
        <w:tc>
          <w:tcPr>
            <w:tcW w:w="766" w:type="dxa"/>
            <w:vAlign w:val="center"/>
          </w:tcPr>
          <w:p>
            <w:pPr>
              <w:widowControl/>
              <w:rPr>
                <w:rFonts w:hint="eastAsia" w:ascii="宋体" w:hAnsi="宋体"/>
                <w:sz w:val="24"/>
                <w:highlight w:val="none"/>
              </w:rPr>
            </w:pPr>
            <w:r>
              <w:rPr>
                <w:rFonts w:hint="eastAsia" w:ascii="宋体" w:hAnsi="宋体"/>
                <w:sz w:val="24"/>
                <w:highlight w:val="none"/>
                <w:lang w:val="en-US" w:eastAsia="zh-CN"/>
              </w:rPr>
              <w:t>10</w:t>
            </w:r>
            <w:r>
              <w:rPr>
                <w:rFonts w:hint="eastAsia" w:ascii="宋体" w:hAnsi="宋体"/>
                <w:sz w:val="24"/>
                <w:highlight w:val="none"/>
              </w:rPr>
              <w:t>分</w:t>
            </w: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供应商2016年至今有文博单位类似业绩的每提供一个得2分，本项最高得10分。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303" w:type="dxa"/>
            <w:vMerge w:val="restart"/>
            <w:vAlign w:val="center"/>
          </w:tcPr>
          <w:p>
            <w:pPr>
              <w:widowControl/>
              <w:rPr>
                <w:rFonts w:hint="eastAsia" w:ascii="宋体" w:hAnsi="宋体" w:eastAsia="宋体"/>
                <w:sz w:val="24"/>
                <w:highlight w:val="none"/>
                <w:lang w:eastAsia="zh-CN"/>
              </w:rPr>
            </w:pPr>
            <w:r>
              <w:rPr>
                <w:rFonts w:hint="eastAsia" w:ascii="宋体" w:hAnsi="宋体"/>
                <w:sz w:val="24"/>
                <w:highlight w:val="none"/>
              </w:rPr>
              <w:t>技术</w:t>
            </w:r>
            <w:r>
              <w:rPr>
                <w:rFonts w:hint="eastAsia" w:ascii="宋体" w:hAnsi="宋体"/>
                <w:sz w:val="24"/>
                <w:highlight w:val="none"/>
                <w:lang w:eastAsia="zh-CN"/>
              </w:rPr>
              <w:t>部分</w:t>
            </w:r>
          </w:p>
        </w:tc>
        <w:tc>
          <w:tcPr>
            <w:tcW w:w="824" w:type="dxa"/>
            <w:vAlign w:val="center"/>
          </w:tcPr>
          <w:p>
            <w:pPr>
              <w:widowControl/>
              <w:rPr>
                <w:rFonts w:hint="eastAsia" w:ascii="宋体" w:hAnsi="宋体" w:eastAsia="宋体"/>
                <w:sz w:val="24"/>
                <w:highlight w:val="none"/>
                <w:lang w:eastAsia="zh-CN"/>
              </w:rPr>
            </w:pPr>
            <w:r>
              <w:rPr>
                <w:rFonts w:hint="eastAsia" w:ascii="宋体" w:hAnsi="宋体"/>
                <w:sz w:val="24"/>
                <w:highlight w:val="none"/>
              </w:rPr>
              <w:t>响应</w:t>
            </w:r>
            <w:r>
              <w:rPr>
                <w:rFonts w:hint="eastAsia" w:ascii="宋体" w:hAnsi="宋体"/>
                <w:sz w:val="24"/>
                <w:highlight w:val="none"/>
                <w:lang w:eastAsia="zh-CN"/>
              </w:rPr>
              <w:t>情况</w:t>
            </w:r>
          </w:p>
        </w:tc>
        <w:tc>
          <w:tcPr>
            <w:tcW w:w="766" w:type="dxa"/>
            <w:vAlign w:val="center"/>
          </w:tcPr>
          <w:p>
            <w:pPr>
              <w:widowControl/>
              <w:rPr>
                <w:rFonts w:hint="eastAsia" w:ascii="宋体" w:hAnsi="宋体"/>
                <w:sz w:val="24"/>
                <w:highlight w:val="none"/>
              </w:rPr>
            </w:pPr>
            <w:r>
              <w:rPr>
                <w:rFonts w:hint="eastAsia" w:ascii="宋体" w:hAnsi="宋体"/>
                <w:sz w:val="24"/>
                <w:highlight w:val="none"/>
                <w:lang w:val="en-US" w:eastAsia="zh-CN"/>
              </w:rPr>
              <w:t>20</w:t>
            </w:r>
            <w:r>
              <w:rPr>
                <w:rFonts w:hint="eastAsia" w:ascii="宋体" w:hAnsi="宋体"/>
                <w:sz w:val="24"/>
                <w:highlight w:val="none"/>
              </w:rPr>
              <w:t>分</w:t>
            </w: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根据标书中采购方对产品的要求及技术参数，综合评定。全部满足评审文件要求：得20分；有负偏离的每项扣5分；扣至0分为止。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303" w:type="dxa"/>
            <w:vMerge w:val="continue"/>
            <w:vAlign w:val="center"/>
          </w:tcPr>
          <w:p>
            <w:pPr>
              <w:widowControl/>
              <w:rPr>
                <w:rFonts w:hint="eastAsia" w:ascii="宋体" w:hAnsi="宋体"/>
                <w:sz w:val="24"/>
                <w:highlight w:val="none"/>
              </w:rPr>
            </w:pPr>
          </w:p>
        </w:tc>
        <w:tc>
          <w:tcPr>
            <w:tcW w:w="824" w:type="dxa"/>
            <w:vAlign w:val="center"/>
          </w:tcPr>
          <w:p>
            <w:pPr>
              <w:widowControl/>
              <w:rPr>
                <w:rFonts w:hint="eastAsia" w:ascii="宋体" w:hAnsi="宋体"/>
                <w:sz w:val="24"/>
                <w:highlight w:val="none"/>
              </w:rPr>
            </w:pPr>
            <w:r>
              <w:rPr>
                <w:rFonts w:hint="eastAsia" w:ascii="宋体" w:hAnsi="宋体"/>
                <w:sz w:val="24"/>
                <w:highlight w:val="none"/>
              </w:rPr>
              <w:t>售后服务</w:t>
            </w:r>
          </w:p>
        </w:tc>
        <w:tc>
          <w:tcPr>
            <w:tcW w:w="766" w:type="dxa"/>
            <w:vAlign w:val="center"/>
          </w:tcPr>
          <w:p>
            <w:pPr>
              <w:widowControl/>
              <w:rPr>
                <w:rFonts w:hint="eastAsia" w:ascii="宋体" w:hAnsi="宋体" w:eastAsia="宋体" w:cs="Times New Roman"/>
                <w:kern w:val="2"/>
                <w:sz w:val="24"/>
                <w:highlight w:val="none"/>
                <w:lang w:val="en-US" w:eastAsia="zh-CN" w:bidi="ar-SA"/>
              </w:rPr>
            </w:pPr>
            <w:r>
              <w:rPr>
                <w:rFonts w:hint="eastAsia" w:ascii="宋体" w:hAnsi="宋体"/>
                <w:sz w:val="24"/>
                <w:highlight w:val="none"/>
                <w:lang w:val="en-US" w:eastAsia="zh-CN"/>
              </w:rPr>
              <w:t>10</w:t>
            </w:r>
            <w:r>
              <w:rPr>
                <w:rFonts w:hint="eastAsia" w:ascii="宋体" w:hAnsi="宋体"/>
                <w:sz w:val="24"/>
                <w:highlight w:val="none"/>
              </w:rPr>
              <w:t>分</w:t>
            </w:r>
          </w:p>
        </w:tc>
        <w:tc>
          <w:tcPr>
            <w:tcW w:w="5846" w:type="dxa"/>
            <w:vAlign w:val="center"/>
          </w:tcPr>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根据供应商文件中售后服务方案内容的完整性、可行性、交货期、质保期、技术培训及优惠条件等内容进行综合打分：</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优【10分】：方案完整详细，可操作性强，完全满足评审文件要求。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良【6分】：方案较为详细，可操作性较强，满足招标评审要求。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一般【3分】：方案偏简单，可操作性一般，满足评审文件要求。</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Times New Roman"/>
                <w:sz w:val="24"/>
                <w:szCs w:val="22"/>
                <w:highlight w:val="none"/>
                <w:lang w:val="en-US" w:eastAsia="zh-CN"/>
              </w:rPr>
            </w:pPr>
            <w:r>
              <w:rPr>
                <w:rFonts w:hint="eastAsia" w:ascii="宋体" w:hAnsi="宋体" w:eastAsia="宋体" w:cs="Times New Roman"/>
                <w:sz w:val="24"/>
                <w:szCs w:val="22"/>
                <w:highlight w:val="none"/>
                <w:lang w:val="en-US" w:eastAsia="zh-CN"/>
              </w:rPr>
              <w:t>差【0分】：没有提供方案或方案不满足评审文件要求。</w:t>
            </w:r>
          </w:p>
        </w:tc>
      </w:tr>
    </w:tbl>
    <w:p>
      <w:pPr>
        <w:rPr>
          <w:highlight w:val="none"/>
        </w:rPr>
      </w:pPr>
    </w:p>
    <w:p>
      <w:pPr>
        <w:numPr>
          <w:ilvl w:val="0"/>
          <w:numId w:val="0"/>
        </w:numPr>
        <w:rPr>
          <w:rFonts w:hint="eastAsia" w:ascii="宋体" w:hAnsi="宋体" w:cs="Arial"/>
          <w:b/>
          <w:bCs/>
          <w:sz w:val="28"/>
          <w:szCs w:val="28"/>
          <w:highlight w:val="none"/>
          <w:shd w:val="clear" w:color="auto" w:fill="FFFFFF"/>
          <w:lang w:val="en-US" w:eastAsia="zh-CN"/>
        </w:rPr>
      </w:pPr>
      <w:r>
        <w:rPr>
          <w:rFonts w:hint="eastAsia" w:ascii="宋体" w:hAnsi="宋体" w:cs="Arial"/>
          <w:b/>
          <w:bCs/>
          <w:sz w:val="28"/>
          <w:szCs w:val="28"/>
          <w:highlight w:val="none"/>
          <w:shd w:val="clear" w:color="auto" w:fill="FFFFFF"/>
          <w:lang w:val="en-US" w:eastAsia="zh-CN"/>
        </w:rPr>
        <w:t>十二、忠县三峡出土青铜器再修复保护专用保护装具规格清单</w:t>
      </w:r>
    </w:p>
    <w:tbl>
      <w:tblPr>
        <w:tblStyle w:val="10"/>
        <w:tblW w:w="8526" w:type="dxa"/>
        <w:tblInd w:w="0" w:type="dxa"/>
        <w:tblLayout w:type="fixed"/>
        <w:tblCellMar>
          <w:top w:w="0" w:type="dxa"/>
          <w:left w:w="0" w:type="dxa"/>
          <w:bottom w:w="0" w:type="dxa"/>
          <w:right w:w="0" w:type="dxa"/>
        </w:tblCellMar>
      </w:tblPr>
      <w:tblGrid>
        <w:gridCol w:w="602"/>
        <w:gridCol w:w="1490"/>
        <w:gridCol w:w="876"/>
        <w:gridCol w:w="1261"/>
        <w:gridCol w:w="905"/>
        <w:gridCol w:w="832"/>
        <w:gridCol w:w="1742"/>
        <w:gridCol w:w="818"/>
      </w:tblGrid>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序号</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文物编号</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文物数量</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囊匣尺寸</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囊匣件数</w:t>
            </w:r>
          </w:p>
        </w:tc>
        <w:tc>
          <w:tcPr>
            <w:tcW w:w="3392" w:type="dxa"/>
            <w:gridSpan w:val="3"/>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囊匣类别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ZK00466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zk00956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40×40×10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zk00957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40×40×10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ZK01764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40×40×35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ZK01765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ZK01766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45×45×20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ZK01767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35×25×15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ZK01770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40×30×30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ZK01771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ZK01788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ZK03172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30×30×25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ZK03268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ZK03375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ZK03642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ZK03713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ZK03778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ZK04138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ZK04478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ZK05589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ZK07045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ZK07080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ZK07083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ZK07087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ZK07106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ZK07156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ZK07164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ZK07240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ZK07283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ZK07284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ZK07286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ZK07296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zk07299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ZK07433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ZK07678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ZK07904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zk07982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ZK07983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ZK07986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ZK07990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ZK07992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ZK07996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zk07998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ZK08322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ZK08565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ZK08567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ZK08569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ZK08570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ZK08571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ZK08713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ZK08714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40×20×5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ZK08715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ZK08716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ZK08719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59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ZK12759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ZK12769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30×30×25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ZK12775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ZK12808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ZK12816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35×35×30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ZK12845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ZK12846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ZK12848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30×25×25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ZK12849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ZK12858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65×15×10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79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ZK12869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10×10×5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ZK12879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89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ZK12889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ZK12890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ZK12891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ZK12892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30×30×25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ZK12894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45×30×30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ZK12895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ZK12922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ZK12927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99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ZK12928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40×40×5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35×35×20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ZK12938-12940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3</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ZK12941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40×30×30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ZK12942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25×20×5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109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ZK12943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ZK12945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ZK00466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zk00956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40×40×10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zk00957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40×40×10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ZK01764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40×40×35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ZK01766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45×45×20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ZK01770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40×30×30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ZK01771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25×25×20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119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ZK01788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ZK03172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30×30×25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ZK03268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55×15×10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ZK04138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ZK04478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ZK05589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25×25×5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ZK07045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ZK07083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ZK07087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ZK07106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129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ZK07156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20×15×5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ZK07164</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20×20×15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ZK07240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ZK07287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ZK07288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ZK07986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ZK08322</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20×20×10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ZK08565</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55×15×10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ZK12759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25×20×10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138</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ZK12861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65×15×10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139</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ZK12863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15×10×10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140</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ZK12868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40×15×10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141</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ZK12873</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10×10×5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142</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ZK12887</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35×35×5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143</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ZK12888</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25×25×10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144</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ZK12889</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25×25×5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145</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ZK12890</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35×35×20</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146</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ZK12891</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15×10×5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sz w:val="21"/>
                <w:szCs w:val="21"/>
                <w:highlight w:val="none"/>
                <w:u w:val="none"/>
              </w:rPr>
            </w:pPr>
            <w:r>
              <w:rPr>
                <w:rFonts w:hint="eastAsia" w:ascii="宋体" w:hAnsi="宋体" w:eastAsia="宋体" w:cs="宋体"/>
                <w:i w:val="0"/>
                <w:color w:val="000000"/>
                <w:kern w:val="0"/>
                <w:sz w:val="21"/>
                <w:szCs w:val="21"/>
                <w:highlight w:val="none"/>
                <w:u w:val="none"/>
                <w:lang w:val="en-US" w:eastAsia="zh-CN"/>
              </w:rPr>
              <w:t>棉垫</w:t>
            </w:r>
          </w:p>
        </w:tc>
      </w:tr>
      <w:tr>
        <w:tblPrEx>
          <w:tblCellMar>
            <w:top w:w="0" w:type="dxa"/>
            <w:left w:w="0" w:type="dxa"/>
            <w:bottom w:w="0" w:type="dxa"/>
            <w:right w:w="0" w:type="dxa"/>
          </w:tblCellMar>
        </w:tblPrEx>
        <w:trPr>
          <w:trHeight w:val="315" w:hRule="atLeast"/>
        </w:trPr>
        <w:tc>
          <w:tcPr>
            <w:tcW w:w="602"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147</w:t>
            </w:r>
          </w:p>
        </w:tc>
        <w:tc>
          <w:tcPr>
            <w:tcW w:w="1490"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616</w:t>
            </w:r>
          </w:p>
        </w:tc>
        <w:tc>
          <w:tcPr>
            <w:tcW w:w="876"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sz w:val="21"/>
                <w:szCs w:val="21"/>
                <w:highlight w:val="none"/>
                <w:u w:val="none"/>
                <w:lang w:val="en-US" w:eastAsia="zh-CN"/>
              </w:rPr>
              <w:t>1</w:t>
            </w:r>
          </w:p>
        </w:tc>
        <w:tc>
          <w:tcPr>
            <w:tcW w:w="1261"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kern w:val="0"/>
                <w:sz w:val="21"/>
                <w:szCs w:val="21"/>
                <w:highlight w:val="none"/>
                <w:u w:val="none"/>
                <w:lang w:val="en-US" w:eastAsia="zh-CN"/>
              </w:rPr>
            </w:pPr>
            <w:r>
              <w:rPr>
                <w:rFonts w:hint="eastAsia" w:ascii="宋体" w:hAnsi="宋体" w:eastAsia="宋体" w:cs="宋体"/>
                <w:i w:val="0"/>
                <w:color w:val="000000"/>
                <w:kern w:val="0"/>
                <w:sz w:val="21"/>
                <w:szCs w:val="21"/>
                <w:highlight w:val="none"/>
                <w:u w:val="none"/>
                <w:lang w:val="en-US" w:eastAsia="zh-CN"/>
              </w:rPr>
              <w:t>15×15×5</w:t>
            </w:r>
          </w:p>
        </w:tc>
        <w:tc>
          <w:tcPr>
            <w:tcW w:w="905" w:type="dxa"/>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000000"/>
                <w:sz w:val="21"/>
                <w:szCs w:val="21"/>
                <w:highlight w:val="none"/>
                <w:u w:val="none"/>
              </w:rPr>
            </w:pPr>
            <w:r>
              <w:rPr>
                <w:rFonts w:hint="eastAsia" w:ascii="宋体" w:hAnsi="宋体" w:eastAsia="宋体" w:cs="宋体"/>
                <w:i w:val="0"/>
                <w:color w:val="000000"/>
                <w:sz w:val="21"/>
                <w:szCs w:val="21"/>
                <w:highlight w:val="none"/>
                <w:u w:val="none"/>
                <w:lang w:val="en-US" w:eastAsia="zh-CN"/>
              </w:rPr>
              <w:t>1</w:t>
            </w:r>
          </w:p>
        </w:tc>
        <w:tc>
          <w:tcPr>
            <w:tcW w:w="832" w:type="dxa"/>
            <w:tcBorders>
              <w:top w:val="single" w:color="000000" w:sz="4" w:space="0"/>
              <w:left w:val="single" w:color="000000"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翻盖盒</w:t>
            </w:r>
          </w:p>
        </w:tc>
        <w:tc>
          <w:tcPr>
            <w:tcW w:w="1742" w:type="dxa"/>
            <w:tcBorders>
              <w:top w:val="single" w:color="000000" w:sz="4" w:space="0"/>
              <w:left w:val="single" w:color="auto" w:sz="4" w:space="0"/>
              <w:bottom w:val="single" w:color="000000" w:sz="4" w:space="0"/>
              <w:right w:val="single" w:color="auto"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无酸瓦楞纸板</w:t>
            </w:r>
          </w:p>
        </w:tc>
        <w:tc>
          <w:tcPr>
            <w:tcW w:w="818" w:type="dxa"/>
            <w:tcBorders>
              <w:top w:val="single" w:color="000000" w:sz="4" w:space="0"/>
              <w:left w:val="single" w:color="auto" w:sz="4" w:space="0"/>
              <w:bottom w:val="single" w:color="000000" w:sz="4" w:space="0"/>
              <w:right w:val="single" w:color="000000" w:sz="4" w:space="0"/>
            </w:tcBorders>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FF0000"/>
                <w:kern w:val="2"/>
                <w:sz w:val="21"/>
                <w:szCs w:val="21"/>
                <w:highlight w:val="none"/>
                <w:u w:val="none"/>
                <w:lang w:val="en-US" w:eastAsia="zh-CN" w:bidi="ar-SA"/>
              </w:rPr>
            </w:pPr>
            <w:r>
              <w:rPr>
                <w:rFonts w:hint="eastAsia" w:ascii="宋体" w:hAnsi="宋体" w:eastAsia="宋体" w:cs="宋体"/>
                <w:i w:val="0"/>
                <w:color w:val="000000"/>
                <w:kern w:val="0"/>
                <w:sz w:val="21"/>
                <w:szCs w:val="21"/>
                <w:highlight w:val="none"/>
                <w:u w:val="none"/>
                <w:lang w:val="en-US" w:eastAsia="zh-CN"/>
              </w:rPr>
              <w:t>随型</w:t>
            </w:r>
          </w:p>
        </w:tc>
      </w:tr>
      <w:tr>
        <w:tblPrEx>
          <w:tblCellMar>
            <w:top w:w="0" w:type="dxa"/>
            <w:left w:w="0" w:type="dxa"/>
            <w:bottom w:w="0" w:type="dxa"/>
            <w:right w:w="0" w:type="dxa"/>
          </w:tblCellMar>
        </w:tblPrEx>
        <w:trPr>
          <w:trHeight w:val="400" w:hRule="atLeast"/>
        </w:trPr>
        <w:tc>
          <w:tcPr>
            <w:tcW w:w="8526" w:type="dxa"/>
            <w:gridSpan w:val="8"/>
            <w:tcBorders>
              <w:top w:val="single" w:color="000000" w:sz="4" w:space="0"/>
              <w:left w:val="single" w:color="000000" w:sz="4" w:space="0"/>
              <w:bottom w:val="single" w:color="000000" w:sz="4" w:space="0"/>
              <w:right w:val="single" w:color="000000" w:sz="4" w:space="0"/>
            </w:tcBorders>
            <w:noWrap/>
            <w:tcMar>
              <w:top w:w="8" w:type="dxa"/>
              <w:left w:w="8" w:type="dxa"/>
              <w:right w:w="8"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b/>
                <w:i w:val="0"/>
                <w:color w:val="000000"/>
                <w:sz w:val="21"/>
                <w:szCs w:val="21"/>
                <w:highlight w:val="none"/>
                <w:u w:val="none"/>
              </w:rPr>
            </w:pPr>
            <w:r>
              <w:rPr>
                <w:rFonts w:hint="eastAsia" w:ascii="宋体" w:hAnsi="宋体" w:eastAsia="宋体" w:cs="宋体"/>
                <w:b/>
                <w:i w:val="0"/>
                <w:color w:val="000000"/>
                <w:kern w:val="0"/>
                <w:sz w:val="21"/>
                <w:szCs w:val="21"/>
                <w:highlight w:val="none"/>
                <w:u w:val="none"/>
                <w:lang w:val="en-US" w:eastAsia="zh-CN"/>
              </w:rPr>
              <w:t>文物数量：150件，囊匣总数：147件</w:t>
            </w:r>
          </w:p>
        </w:tc>
      </w:tr>
    </w:tbl>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602592"/>
    <w:rsid w:val="4DA41106"/>
    <w:rsid w:val="7A436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8"/>
      <w:lang w:val="en-US" w:eastAsia="zh-CN" w:bidi="ar-SA"/>
    </w:rPr>
  </w:style>
  <w:style w:type="paragraph" w:styleId="4">
    <w:name w:val="heading 2"/>
    <w:basedOn w:val="1"/>
    <w:next w:val="1"/>
    <w:qFormat/>
    <w:uiPriority w:val="0"/>
    <w:pPr>
      <w:keepNext/>
      <w:keepLines/>
      <w:spacing w:before="260" w:beforeAutospacing="0" w:after="26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beforeAutospacing="0" w:after="260" w:afterAutospacing="0" w:line="413" w:lineRule="auto"/>
      <w:outlineLvl w:val="2"/>
    </w:pPr>
    <w:rPr>
      <w:b/>
      <w:sz w:val="32"/>
    </w:rPr>
  </w:style>
  <w:style w:type="character" w:default="1" w:styleId="12">
    <w:name w:val="Default Paragraph Font"/>
    <w:qFormat/>
    <w:uiPriority w:val="0"/>
  </w:style>
  <w:style w:type="table" w:default="1" w:styleId="10">
    <w:name w:val="Normal Table"/>
    <w:qFormat/>
    <w:uiPriority w:val="0"/>
    <w:tblPr>
      <w:tblCellMar>
        <w:top w:w="0" w:type="dxa"/>
        <w:left w:w="108" w:type="dxa"/>
        <w:bottom w:w="0" w:type="dxa"/>
        <w:right w:w="108" w:type="dxa"/>
      </w:tblCellMar>
    </w:tblPr>
  </w:style>
  <w:style w:type="paragraph" w:customStyle="1" w:styleId="2">
    <w:name w:val="正文格式"/>
    <w:basedOn w:val="3"/>
    <w:qFormat/>
    <w:uiPriority w:val="0"/>
    <w:pPr>
      <w:widowControl/>
      <w:adjustRightInd w:val="0"/>
      <w:snapToGrid w:val="0"/>
      <w:spacing w:before="60" w:beforeAutospacing="0" w:line="360" w:lineRule="auto"/>
      <w:ind w:firstLine="480" w:firstLineChars="200"/>
      <w:jc w:val="left"/>
      <w:textAlignment w:val="baseline"/>
    </w:pPr>
    <w:rPr>
      <w:rFonts w:ascii="宋体" w:hAnsi="宋体" w:eastAsia="宋体" w:cs="Times New Roman"/>
      <w:color w:val="000000"/>
      <w:kern w:val="0"/>
      <w:sz w:val="24"/>
    </w:rPr>
  </w:style>
  <w:style w:type="paragraph" w:customStyle="1" w:styleId="3">
    <w:name w:val="正文_20"/>
    <w:qFormat/>
    <w:uiPriority w:val="0"/>
    <w:pPr>
      <w:widowControl w:val="0"/>
      <w:jc w:val="both"/>
    </w:pPr>
    <w:rPr>
      <w:rFonts w:ascii="Calibri" w:hAnsi="Calibri" w:eastAsia="宋体" w:cs="Times New Roman"/>
      <w:kern w:val="2"/>
      <w:sz w:val="21"/>
      <w:szCs w:val="22"/>
      <w:lang w:val="en-US" w:eastAsia="zh-CN" w:bidi="ar-SA"/>
    </w:rPr>
  </w:style>
  <w:style w:type="paragraph" w:styleId="6">
    <w:name w:val="Body Text"/>
    <w:basedOn w:val="1"/>
    <w:qFormat/>
    <w:uiPriority w:val="0"/>
    <w:rPr>
      <w:rFonts w:ascii="宋体" w:hAnsi="Arial"/>
      <w:sz w:val="28"/>
    </w:rPr>
  </w:style>
  <w:style w:type="paragraph" w:styleId="7">
    <w:name w:val="Body Text Indent"/>
    <w:basedOn w:val="1"/>
    <w:next w:val="8"/>
    <w:qFormat/>
    <w:uiPriority w:val="0"/>
    <w:pPr>
      <w:spacing w:line="700" w:lineRule="exact"/>
      <w:ind w:left="960"/>
    </w:pPr>
    <w:rPr>
      <w:sz w:val="44"/>
    </w:rPr>
  </w:style>
  <w:style w:type="paragraph" w:styleId="8">
    <w:name w:val="envelope return"/>
    <w:basedOn w:val="1"/>
    <w:qFormat/>
    <w:uiPriority w:val="0"/>
    <w:pPr>
      <w:snapToGrid w:val="0"/>
    </w:pPr>
    <w:rPr>
      <w:rFonts w:ascii="Arial" w:hAnsi="Arial"/>
    </w:rPr>
  </w:style>
  <w:style w:type="paragraph" w:styleId="9">
    <w:name w:val="Body Text First Indent 2"/>
    <w:basedOn w:val="7"/>
    <w:qFormat/>
    <w:uiPriority w:val="0"/>
    <w:pPr>
      <w:ind w:left="42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缩进2格"/>
    <w:basedOn w:val="1"/>
    <w:qFormat/>
    <w:uiPriority w:val="0"/>
    <w:pPr>
      <w:spacing w:line="600" w:lineRule="exact"/>
      <w:ind w:firstLine="639" w:firstLineChars="206"/>
    </w:pPr>
    <w:rPr>
      <w:rFonts w:ascii="仿宋_GB2312" w:hAnsi="宋体" w:eastAsia="仿宋_GB2312"/>
      <w:kern w:val="2"/>
      <w:sz w:val="31"/>
      <w:szCs w:val="2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5653</Words>
  <Characters>7232</Characters>
  <Paragraphs>1453</Paragraphs>
  <TotalTime>3</TotalTime>
  <ScaleCrop>false</ScaleCrop>
  <LinksUpToDate>false</LinksUpToDate>
  <CharactersWithSpaces>7348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2018-11-05T02:49:00Z</dcterms:created>
  <dc:creator>蒲公英，</dc:creator>
  <cp:lastModifiedBy>Pourquoi</cp:lastModifiedBy>
  <dcterms:modified xsi:type="dcterms:W3CDTF">2020-05-11T06:10:37Z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